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val="0"/>
        <w:rPr>
          <w:rFonts w:ascii="Times New Roman"/>
          <w:sz w:val="20"/>
        </w:rPr>
      </w:pPr>
    </w:p>
    <w:p>
      <w:pPr>
        <w:pStyle w:val="2"/>
        <w:wordWrap w:val="0"/>
        <w:rPr>
          <w:rFonts w:ascii="Times New Roman"/>
          <w:sz w:val="20"/>
        </w:rPr>
      </w:pPr>
    </w:p>
    <w:p>
      <w:pPr>
        <w:pStyle w:val="2"/>
        <w:wordWrap w:val="0"/>
        <w:rPr>
          <w:rFonts w:ascii="Times New Roman"/>
          <w:sz w:val="20"/>
        </w:rPr>
      </w:pPr>
    </w:p>
    <w:p>
      <w:pPr>
        <w:pStyle w:val="2"/>
        <w:wordWrap w:val="0"/>
        <w:rPr>
          <w:rFonts w:hint="eastAsia" w:ascii="Times New Roman" w:eastAsiaTheme="minorEastAsia"/>
          <w:sz w:val="20"/>
        </w:rPr>
      </w:pPr>
    </w:p>
    <w:p>
      <w:pPr>
        <w:pStyle w:val="2"/>
        <w:wordWrap w:val="0"/>
        <w:rPr>
          <w:rFonts w:ascii="Times New Roman"/>
          <w:sz w:val="20"/>
        </w:rPr>
      </w:pPr>
    </w:p>
    <w:p>
      <w:pPr>
        <w:wordWrap w:val="0"/>
        <w:spacing w:before="177"/>
        <w:ind w:right="280"/>
        <w:jc w:val="center"/>
        <w:rPr>
          <w:sz w:val="72"/>
        </w:rPr>
      </w:pPr>
      <w:r>
        <w:rPr>
          <w:sz w:val="72"/>
        </w:rPr>
        <w:t>竞争性磋商文件</w:t>
      </w:r>
    </w:p>
    <w:p>
      <w:pPr>
        <w:pStyle w:val="2"/>
        <w:wordWrap w:val="0"/>
        <w:rPr>
          <w:sz w:val="72"/>
        </w:rPr>
      </w:pPr>
    </w:p>
    <w:p>
      <w:pPr>
        <w:pStyle w:val="2"/>
        <w:wordWrap w:val="0"/>
        <w:spacing w:before="8"/>
        <w:ind w:left="1980" w:leftChars="900"/>
        <w:rPr>
          <w:sz w:val="62"/>
        </w:rPr>
      </w:pPr>
    </w:p>
    <w:p>
      <w:pPr>
        <w:spacing w:line="374" w:lineRule="auto"/>
        <w:ind w:left="1765" w:leftChars="800" w:right="1720" w:hanging="5"/>
        <w:rPr>
          <w:sz w:val="32"/>
          <w:szCs w:val="32"/>
        </w:rPr>
      </w:pPr>
      <w:r>
        <w:rPr>
          <w:spacing w:val="-1"/>
          <w:sz w:val="30"/>
        </w:rPr>
        <w:t>项目名称：</w:t>
      </w:r>
      <w:r>
        <w:rPr>
          <w:rFonts w:hint="eastAsia"/>
          <w:sz w:val="32"/>
          <w:szCs w:val="32"/>
        </w:rPr>
        <w:t>宿迁市中医院</w:t>
      </w:r>
      <w:r>
        <w:rPr>
          <w:rFonts w:hint="eastAsia" w:eastAsiaTheme="minorEastAsia"/>
          <w:sz w:val="32"/>
          <w:szCs w:val="32"/>
        </w:rPr>
        <w:t>加温毯</w:t>
      </w:r>
      <w:r>
        <w:rPr>
          <w:rFonts w:hint="eastAsia"/>
          <w:sz w:val="32"/>
          <w:szCs w:val="32"/>
        </w:rPr>
        <w:t>采购项目</w:t>
      </w:r>
    </w:p>
    <w:p>
      <w:pPr>
        <w:wordWrap w:val="0"/>
        <w:spacing w:line="374" w:lineRule="auto"/>
        <w:ind w:left="1765" w:leftChars="800" w:right="1720" w:hanging="5"/>
        <w:rPr>
          <w:rFonts w:ascii="宋体" w:hAnsi="宋体" w:eastAsia="宋体" w:cs="宋体"/>
          <w:color w:val="333333"/>
          <w:sz w:val="28"/>
          <w:szCs w:val="28"/>
        </w:rPr>
      </w:pPr>
      <w:r>
        <w:rPr>
          <w:sz w:val="30"/>
        </w:rPr>
        <w:t>编</w:t>
      </w:r>
      <w:r>
        <w:rPr>
          <w:rFonts w:hint="eastAsia" w:eastAsiaTheme="minorEastAsia"/>
          <w:sz w:val="30"/>
        </w:rPr>
        <w:t xml:space="preserve">        </w:t>
      </w:r>
      <w:r>
        <w:rPr>
          <w:sz w:val="30"/>
        </w:rPr>
        <w:t>号：</w:t>
      </w:r>
      <w:r>
        <w:rPr>
          <w:rFonts w:hint="eastAsia"/>
          <w:sz w:val="32"/>
          <w:szCs w:val="32"/>
        </w:rPr>
        <w:t>SQZYY-ZB-009-2021</w:t>
      </w:r>
    </w:p>
    <w:p>
      <w:pPr>
        <w:wordWrap w:val="0"/>
        <w:spacing w:line="374" w:lineRule="auto"/>
        <w:ind w:left="1765" w:leftChars="800" w:right="1720" w:hanging="5"/>
        <w:rPr>
          <w:rFonts w:hint="eastAsia" w:eastAsiaTheme="minorEastAsia"/>
          <w:sz w:val="30"/>
        </w:rPr>
      </w:pPr>
      <w:r>
        <w:rPr>
          <w:sz w:val="30"/>
        </w:rPr>
        <w:t>采</w:t>
      </w:r>
      <w:r>
        <w:rPr>
          <w:spacing w:val="-9"/>
          <w:sz w:val="30"/>
        </w:rPr>
        <w:t xml:space="preserve"> </w:t>
      </w:r>
      <w:r>
        <w:rPr>
          <w:rFonts w:hint="eastAsia" w:eastAsiaTheme="minorEastAsia"/>
          <w:spacing w:val="-9"/>
          <w:sz w:val="30"/>
        </w:rPr>
        <w:t xml:space="preserve">  </w:t>
      </w:r>
      <w:r>
        <w:rPr>
          <w:sz w:val="30"/>
        </w:rPr>
        <w:t>购</w:t>
      </w:r>
      <w:r>
        <w:rPr>
          <w:spacing w:val="-9"/>
          <w:sz w:val="30"/>
        </w:rPr>
        <w:t xml:space="preserve"> </w:t>
      </w:r>
      <w:r>
        <w:rPr>
          <w:rFonts w:hint="eastAsia" w:eastAsiaTheme="minorEastAsia"/>
          <w:spacing w:val="-9"/>
          <w:sz w:val="30"/>
        </w:rPr>
        <w:t xml:space="preserve"> </w:t>
      </w:r>
      <w:r>
        <w:rPr>
          <w:sz w:val="30"/>
        </w:rPr>
        <w:t>人：</w:t>
      </w:r>
      <w:r>
        <w:rPr>
          <w:rFonts w:hint="eastAsia" w:eastAsiaTheme="minorEastAsia"/>
          <w:sz w:val="30"/>
        </w:rPr>
        <w:t>宿迁市中医院</w:t>
      </w:r>
    </w:p>
    <w:p>
      <w:pPr>
        <w:tabs>
          <w:tab w:val="left" w:pos="2025"/>
        </w:tabs>
        <w:wordWrap w:val="0"/>
        <w:spacing w:before="1" w:line="374" w:lineRule="auto"/>
        <w:ind w:left="1760" w:leftChars="800" w:right="4717"/>
        <w:rPr>
          <w:sz w:val="30"/>
        </w:rPr>
      </w:pPr>
      <w:r>
        <w:rPr>
          <w:sz w:val="30"/>
        </w:rPr>
        <w:t>日</w:t>
      </w:r>
      <w:r>
        <w:rPr>
          <w:sz w:val="30"/>
        </w:rPr>
        <w:tab/>
      </w:r>
      <w:r>
        <w:rPr>
          <w:rFonts w:hint="eastAsia" w:asciiTheme="minorEastAsia" w:hAnsiTheme="minorEastAsia" w:eastAsiaTheme="minorEastAsia"/>
          <w:sz w:val="30"/>
        </w:rPr>
        <w:t xml:space="preserve">    </w:t>
      </w:r>
      <w:r>
        <w:rPr>
          <w:spacing w:val="-1"/>
          <w:sz w:val="30"/>
        </w:rPr>
        <w:t>期：2021</w:t>
      </w:r>
      <w:r>
        <w:rPr>
          <w:spacing w:val="-76"/>
          <w:sz w:val="30"/>
        </w:rPr>
        <w:t xml:space="preserve"> </w:t>
      </w:r>
      <w:r>
        <w:rPr>
          <w:sz w:val="30"/>
        </w:rPr>
        <w:t>年</w:t>
      </w:r>
      <w:r>
        <w:rPr>
          <w:spacing w:val="-76"/>
          <w:sz w:val="30"/>
        </w:rPr>
        <w:t xml:space="preserve"> </w:t>
      </w:r>
      <w:r>
        <w:rPr>
          <w:rFonts w:hint="eastAsia" w:eastAsiaTheme="minorEastAsia"/>
          <w:sz w:val="30"/>
        </w:rPr>
        <w:t>6</w:t>
      </w:r>
      <w:r>
        <w:rPr>
          <w:spacing w:val="-75"/>
          <w:sz w:val="30"/>
        </w:rPr>
        <w:t xml:space="preserve"> </w:t>
      </w:r>
      <w:r>
        <w:rPr>
          <w:sz w:val="30"/>
        </w:rPr>
        <w:t>月</w:t>
      </w:r>
    </w:p>
    <w:p>
      <w:pPr>
        <w:wordWrap w:val="0"/>
        <w:spacing w:line="374" w:lineRule="auto"/>
        <w:ind w:left="1760" w:leftChars="800"/>
        <w:rPr>
          <w:sz w:val="30"/>
        </w:rPr>
        <w:sectPr>
          <w:headerReference r:id="rId3" w:type="default"/>
          <w:footerReference r:id="rId4" w:type="default"/>
          <w:type w:val="continuous"/>
          <w:pgSz w:w="11910" w:h="16840"/>
          <w:pgMar w:top="1340" w:right="840" w:bottom="960" w:left="1020" w:header="877" w:footer="770" w:gutter="0"/>
          <w:pgNumType w:start="1"/>
          <w:cols w:space="720" w:num="1"/>
        </w:sectPr>
      </w:pPr>
    </w:p>
    <w:p>
      <w:pPr>
        <w:pStyle w:val="2"/>
        <w:wordWrap w:val="0"/>
        <w:rPr>
          <w:sz w:val="20"/>
        </w:rPr>
      </w:pPr>
    </w:p>
    <w:p>
      <w:pPr>
        <w:pStyle w:val="2"/>
        <w:wordWrap w:val="0"/>
        <w:rPr>
          <w:sz w:val="20"/>
        </w:rPr>
      </w:pPr>
    </w:p>
    <w:p>
      <w:pPr>
        <w:pStyle w:val="2"/>
        <w:wordWrap w:val="0"/>
        <w:rPr>
          <w:sz w:val="20"/>
        </w:rPr>
      </w:pPr>
    </w:p>
    <w:p>
      <w:pPr>
        <w:pStyle w:val="2"/>
        <w:wordWrap w:val="0"/>
        <w:spacing w:before="7"/>
        <w:rPr>
          <w:sz w:val="15"/>
        </w:rPr>
      </w:pPr>
    </w:p>
    <w:p>
      <w:pPr>
        <w:tabs>
          <w:tab w:val="left" w:pos="1084"/>
        </w:tabs>
        <w:wordWrap w:val="0"/>
        <w:spacing w:line="593" w:lineRule="exact"/>
        <w:ind w:right="173"/>
        <w:jc w:val="center"/>
        <w:rPr>
          <w:rFonts w:ascii="Microsoft YaHei UI" w:eastAsia="Microsoft YaHei UI"/>
          <w:b/>
          <w:sz w:val="36"/>
        </w:rPr>
      </w:pPr>
      <w:r>
        <w:rPr>
          <w:rFonts w:hint="eastAsia" w:ascii="Microsoft YaHei UI" w:eastAsia="Microsoft YaHei UI"/>
          <w:b/>
          <w:sz w:val="36"/>
        </w:rPr>
        <w:t>目</w:t>
      </w:r>
      <w:r>
        <w:rPr>
          <w:rFonts w:hint="eastAsia" w:ascii="Microsoft YaHei UI" w:eastAsia="Microsoft YaHei UI"/>
          <w:b/>
          <w:sz w:val="36"/>
        </w:rPr>
        <w:tab/>
      </w:r>
      <w:r>
        <w:rPr>
          <w:rFonts w:hint="eastAsia" w:ascii="Microsoft YaHei UI" w:eastAsia="Microsoft YaHei UI"/>
          <w:b/>
          <w:sz w:val="36"/>
        </w:rPr>
        <w:t>录</w:t>
      </w:r>
    </w:p>
    <w:sdt>
      <w:sdtPr>
        <w:id w:val="772770032"/>
        <w:docPartObj>
          <w:docPartGallery w:val="Table of Contents"/>
          <w:docPartUnique/>
        </w:docPartObj>
      </w:sdtPr>
      <w:sdtContent>
        <w:p>
          <w:pPr>
            <w:pStyle w:val="10"/>
            <w:tabs>
              <w:tab w:val="left" w:pos="1332"/>
              <w:tab w:val="right" w:leader="dot" w:pos="9065"/>
            </w:tabs>
            <w:wordWrap w:val="0"/>
            <w:spacing w:before="291"/>
            <w:rPr>
              <w:rFonts w:ascii="Calibri" w:eastAsia="Calibri"/>
              <w:b w:val="0"/>
            </w:rPr>
          </w:pPr>
          <w:r>
            <w:fldChar w:fldCharType="begin"/>
          </w:r>
          <w:r>
            <w:instrText xml:space="preserve"> HYPERLINK \l "_TOC_250013" </w:instrText>
          </w:r>
          <w:r>
            <w:fldChar w:fldCharType="separate"/>
          </w:r>
          <w:r>
            <w:t>第一部分</w:t>
          </w:r>
          <w:r>
            <w:tab/>
          </w:r>
          <w:r>
            <w:t>竞争性磋商邀请函</w:t>
          </w:r>
          <w:r>
            <w:rPr>
              <w:rFonts w:ascii="Times New Roman" w:eastAsia="Times New Roman"/>
            </w:rPr>
            <w:tab/>
          </w:r>
          <w:r>
            <w:rPr>
              <w:rFonts w:ascii="Calibri" w:eastAsia="Calibri"/>
              <w:b w:val="0"/>
            </w:rPr>
            <w:t>3</w:t>
          </w:r>
          <w:r>
            <w:rPr>
              <w:rFonts w:ascii="Calibri" w:eastAsia="Calibri"/>
              <w:b w:val="0"/>
            </w:rPr>
            <w:fldChar w:fldCharType="end"/>
          </w:r>
        </w:p>
        <w:p>
          <w:pPr>
            <w:pStyle w:val="10"/>
            <w:tabs>
              <w:tab w:val="left" w:pos="1332"/>
              <w:tab w:val="right" w:leader="dot" w:pos="9065"/>
            </w:tabs>
            <w:wordWrap w:val="0"/>
            <w:rPr>
              <w:rFonts w:ascii="Calibri" w:eastAsia="Calibri"/>
              <w:b w:val="0"/>
            </w:rPr>
          </w:pPr>
          <w:r>
            <w:fldChar w:fldCharType="begin"/>
          </w:r>
          <w:r>
            <w:instrText xml:space="preserve"> HYPERLINK \l "_TOC_250012" </w:instrText>
          </w:r>
          <w:r>
            <w:fldChar w:fldCharType="separate"/>
          </w:r>
          <w:r>
            <w:t>第二部分</w:t>
          </w:r>
          <w:r>
            <w:tab/>
          </w:r>
          <w:r>
            <w:t>供应商须知</w:t>
          </w:r>
          <w:r>
            <w:rPr>
              <w:rFonts w:ascii="Times New Roman" w:eastAsia="Times New Roman"/>
            </w:rPr>
            <w:tab/>
          </w:r>
          <w:r>
            <w:rPr>
              <w:rFonts w:ascii="Calibri" w:eastAsia="Calibri"/>
              <w:b w:val="0"/>
            </w:rPr>
            <w:t>5</w:t>
          </w:r>
          <w:r>
            <w:rPr>
              <w:rFonts w:ascii="Calibri" w:eastAsia="Calibri"/>
              <w:b w:val="0"/>
            </w:rPr>
            <w:fldChar w:fldCharType="end"/>
          </w:r>
        </w:p>
        <w:p>
          <w:pPr>
            <w:pStyle w:val="11"/>
            <w:tabs>
              <w:tab w:val="right" w:leader="dot" w:pos="9065"/>
            </w:tabs>
            <w:wordWrap w:val="0"/>
            <w:spacing w:before="126"/>
            <w:rPr>
              <w:rFonts w:ascii="Calibri" w:eastAsia="Calibri"/>
            </w:rPr>
          </w:pPr>
          <w:r>
            <w:fldChar w:fldCharType="begin"/>
          </w:r>
          <w:r>
            <w:instrText xml:space="preserve"> HYPERLINK \l "_TOC_250011" </w:instrText>
          </w:r>
          <w:r>
            <w:fldChar w:fldCharType="separate"/>
          </w:r>
          <w:r>
            <w:t>须知前附表：</w:t>
          </w:r>
          <w:r>
            <w:rPr>
              <w:rFonts w:ascii="Times New Roman" w:eastAsia="Times New Roman"/>
            </w:rPr>
            <w:tab/>
          </w:r>
          <w:r>
            <w:rPr>
              <w:rFonts w:ascii="Calibri" w:eastAsia="Calibri"/>
            </w:rPr>
            <w:t>6</w:t>
          </w:r>
          <w:r>
            <w:rPr>
              <w:rFonts w:ascii="Calibri" w:eastAsia="Calibri"/>
            </w:rPr>
            <w:fldChar w:fldCharType="end"/>
          </w:r>
        </w:p>
        <w:p>
          <w:pPr>
            <w:pStyle w:val="11"/>
            <w:tabs>
              <w:tab w:val="right" w:leader="dot" w:pos="9065"/>
            </w:tabs>
            <w:wordWrap w:val="0"/>
            <w:rPr>
              <w:rFonts w:ascii="Calibri" w:eastAsia="Calibri"/>
            </w:rPr>
          </w:pPr>
          <w:r>
            <w:fldChar w:fldCharType="begin"/>
          </w:r>
          <w:r>
            <w:instrText xml:space="preserve"> HYPERLINK \l "_TOC_250010" </w:instrText>
          </w:r>
          <w:r>
            <w:fldChar w:fldCharType="separate"/>
          </w:r>
          <w:r>
            <w:t>一、总 则</w:t>
          </w:r>
          <w:r>
            <w:rPr>
              <w:rFonts w:ascii="Times New Roman" w:eastAsia="Times New Roman"/>
            </w:rPr>
            <w:tab/>
          </w:r>
          <w:r>
            <w:rPr>
              <w:rFonts w:ascii="Calibri" w:eastAsia="Calibri"/>
            </w:rPr>
            <w:t>6</w:t>
          </w:r>
          <w:r>
            <w:rPr>
              <w:rFonts w:ascii="Calibri" w:eastAsia="Calibri"/>
            </w:rPr>
            <w:fldChar w:fldCharType="end"/>
          </w:r>
        </w:p>
        <w:p>
          <w:pPr>
            <w:pStyle w:val="11"/>
            <w:tabs>
              <w:tab w:val="right" w:leader="dot" w:pos="9065"/>
            </w:tabs>
            <w:wordWrap w:val="0"/>
            <w:rPr>
              <w:rFonts w:ascii="Calibri" w:eastAsia="Calibri"/>
            </w:rPr>
          </w:pPr>
          <w:r>
            <w:fldChar w:fldCharType="begin"/>
          </w:r>
          <w:r>
            <w:instrText xml:space="preserve"> HYPERLINK \l "_TOC_250009" </w:instrText>
          </w:r>
          <w:r>
            <w:fldChar w:fldCharType="separate"/>
          </w:r>
          <w:r>
            <w:t>二、竞争性磋商文件</w:t>
          </w:r>
          <w:r>
            <w:rPr>
              <w:rFonts w:ascii="Times New Roman" w:eastAsia="Times New Roman"/>
            </w:rPr>
            <w:tab/>
          </w:r>
          <w:r>
            <w:rPr>
              <w:rFonts w:ascii="Calibri" w:eastAsia="Calibri"/>
            </w:rPr>
            <w:t>6</w:t>
          </w:r>
          <w:r>
            <w:rPr>
              <w:rFonts w:ascii="Calibri" w:eastAsia="Calibri"/>
            </w:rPr>
            <w:fldChar w:fldCharType="end"/>
          </w:r>
        </w:p>
        <w:p>
          <w:pPr>
            <w:pStyle w:val="11"/>
            <w:tabs>
              <w:tab w:val="right" w:leader="dot" w:pos="9065"/>
            </w:tabs>
            <w:wordWrap w:val="0"/>
            <w:spacing w:before="179"/>
            <w:rPr>
              <w:rFonts w:ascii="Calibri" w:eastAsia="Calibri"/>
            </w:rPr>
          </w:pPr>
          <w:r>
            <w:fldChar w:fldCharType="begin"/>
          </w:r>
          <w:r>
            <w:instrText xml:space="preserve"> HYPERLINK \l "_TOC_250008" </w:instrText>
          </w:r>
          <w:r>
            <w:fldChar w:fldCharType="separate"/>
          </w:r>
          <w:r>
            <w:t>三、响应文件的编制</w:t>
          </w:r>
          <w:r>
            <w:rPr>
              <w:rFonts w:ascii="Times New Roman" w:eastAsia="Times New Roman"/>
            </w:rPr>
            <w:tab/>
          </w:r>
          <w:r>
            <w:rPr>
              <w:rFonts w:ascii="Calibri" w:eastAsia="Calibri"/>
            </w:rPr>
            <w:t>6</w:t>
          </w:r>
          <w:r>
            <w:rPr>
              <w:rFonts w:ascii="Calibri" w:eastAsia="Calibri"/>
            </w:rPr>
            <w:fldChar w:fldCharType="end"/>
          </w:r>
        </w:p>
        <w:p>
          <w:pPr>
            <w:pStyle w:val="11"/>
            <w:tabs>
              <w:tab w:val="right" w:leader="dot" w:pos="9065"/>
            </w:tabs>
            <w:wordWrap w:val="0"/>
            <w:spacing w:before="176"/>
            <w:rPr>
              <w:rFonts w:ascii="Calibri" w:eastAsia="Calibri"/>
            </w:rPr>
          </w:pPr>
          <w:r>
            <w:fldChar w:fldCharType="begin"/>
          </w:r>
          <w:r>
            <w:instrText xml:space="preserve"> HYPERLINK \l "_TOC_250007" </w:instrText>
          </w:r>
          <w:r>
            <w:fldChar w:fldCharType="separate"/>
          </w:r>
          <w:r>
            <w:t>四、响应文件的递交</w:t>
          </w:r>
          <w:r>
            <w:rPr>
              <w:rFonts w:ascii="Times New Roman" w:eastAsia="Times New Roman"/>
            </w:rPr>
            <w:tab/>
          </w:r>
          <w:r>
            <w:rPr>
              <w:rFonts w:ascii="Calibri" w:eastAsia="Calibri"/>
            </w:rPr>
            <w:t>9</w:t>
          </w:r>
          <w:r>
            <w:rPr>
              <w:rFonts w:ascii="Calibri" w:eastAsia="Calibri"/>
            </w:rPr>
            <w:fldChar w:fldCharType="end"/>
          </w:r>
        </w:p>
        <w:p>
          <w:pPr>
            <w:pStyle w:val="11"/>
            <w:tabs>
              <w:tab w:val="right" w:leader="dot" w:pos="9066"/>
            </w:tabs>
            <w:wordWrap w:val="0"/>
            <w:rPr>
              <w:rFonts w:ascii="Calibri" w:eastAsia="Calibri"/>
            </w:rPr>
          </w:pPr>
          <w:r>
            <w:t>五、无效响应、废标、串通参与磋商认定条款</w:t>
          </w:r>
          <w:r>
            <w:rPr>
              <w:rFonts w:ascii="Times New Roman" w:eastAsia="Times New Roman"/>
            </w:rPr>
            <w:tab/>
          </w:r>
          <w:r>
            <w:rPr>
              <w:rFonts w:ascii="Calibri" w:eastAsia="Calibri"/>
            </w:rPr>
            <w:t>10</w:t>
          </w:r>
        </w:p>
        <w:p>
          <w:pPr>
            <w:pStyle w:val="11"/>
            <w:tabs>
              <w:tab w:val="right" w:leader="dot" w:pos="9066"/>
            </w:tabs>
            <w:wordWrap w:val="0"/>
            <w:spacing w:before="176"/>
            <w:rPr>
              <w:rFonts w:ascii="Calibri" w:eastAsia="Calibri"/>
            </w:rPr>
          </w:pPr>
          <w:r>
            <w:fldChar w:fldCharType="begin"/>
          </w:r>
          <w:r>
            <w:instrText xml:space="preserve"> HYPERLINK \l "_TOC_250006" </w:instrText>
          </w:r>
          <w:r>
            <w:fldChar w:fldCharType="separate"/>
          </w:r>
          <w:r>
            <w:t>六、磋商程序及最终报价</w:t>
          </w:r>
          <w:r>
            <w:rPr>
              <w:rFonts w:ascii="Times New Roman" w:eastAsia="Times New Roman"/>
            </w:rPr>
            <w:tab/>
          </w:r>
          <w:r>
            <w:rPr>
              <w:rFonts w:ascii="Calibri" w:eastAsia="Calibri"/>
            </w:rPr>
            <w:t>11</w:t>
          </w:r>
          <w:r>
            <w:rPr>
              <w:rFonts w:ascii="Calibri" w:eastAsia="Calibri"/>
            </w:rPr>
            <w:fldChar w:fldCharType="end"/>
          </w:r>
        </w:p>
        <w:p>
          <w:pPr>
            <w:pStyle w:val="11"/>
            <w:tabs>
              <w:tab w:val="right" w:leader="dot" w:pos="9066"/>
            </w:tabs>
            <w:wordWrap w:val="0"/>
            <w:rPr>
              <w:rFonts w:ascii="Calibri" w:eastAsia="Calibri"/>
            </w:rPr>
          </w:pPr>
          <w:r>
            <w:fldChar w:fldCharType="begin"/>
          </w:r>
          <w:r>
            <w:instrText xml:space="preserve"> HYPERLINK \l "_TOC_250005" </w:instrText>
          </w:r>
          <w:r>
            <w:fldChar w:fldCharType="separate"/>
          </w:r>
          <w:r>
            <w:t>七、成交及合同签订</w:t>
          </w:r>
          <w:r>
            <w:rPr>
              <w:rFonts w:ascii="Times New Roman" w:eastAsia="Times New Roman"/>
            </w:rPr>
            <w:tab/>
          </w:r>
          <w:r>
            <w:rPr>
              <w:rFonts w:ascii="Calibri" w:eastAsia="Calibri"/>
            </w:rPr>
            <w:t>13</w:t>
          </w:r>
          <w:r>
            <w:rPr>
              <w:rFonts w:ascii="Calibri" w:eastAsia="Calibri"/>
            </w:rPr>
            <w:fldChar w:fldCharType="end"/>
          </w:r>
        </w:p>
        <w:p>
          <w:pPr>
            <w:pStyle w:val="11"/>
            <w:tabs>
              <w:tab w:val="right" w:leader="dot" w:pos="9066"/>
            </w:tabs>
            <w:wordWrap w:val="0"/>
            <w:spacing w:before="176"/>
            <w:rPr>
              <w:rFonts w:ascii="Calibri" w:eastAsia="Calibri"/>
            </w:rPr>
          </w:pPr>
          <w:r>
            <w:fldChar w:fldCharType="begin"/>
          </w:r>
          <w:r>
            <w:instrText xml:space="preserve"> HYPERLINK \l "_TOC_250004" </w:instrText>
          </w:r>
          <w:r>
            <w:fldChar w:fldCharType="separate"/>
          </w:r>
          <w:r>
            <w:t>八、验收及付款</w:t>
          </w:r>
          <w:r>
            <w:rPr>
              <w:rFonts w:ascii="Times New Roman" w:eastAsia="Times New Roman"/>
            </w:rPr>
            <w:tab/>
          </w:r>
          <w:r>
            <w:rPr>
              <w:rFonts w:ascii="Calibri" w:eastAsia="Calibri"/>
            </w:rPr>
            <w:t>13</w:t>
          </w:r>
          <w:r>
            <w:rPr>
              <w:rFonts w:ascii="Calibri" w:eastAsia="Calibri"/>
            </w:rPr>
            <w:fldChar w:fldCharType="end"/>
          </w:r>
        </w:p>
        <w:p>
          <w:pPr>
            <w:pStyle w:val="11"/>
            <w:tabs>
              <w:tab w:val="right" w:leader="dot" w:pos="9066"/>
            </w:tabs>
            <w:wordWrap w:val="0"/>
            <w:spacing w:before="179"/>
            <w:rPr>
              <w:rFonts w:ascii="Calibri" w:eastAsia="Calibri"/>
            </w:rPr>
          </w:pPr>
          <w:r>
            <w:fldChar w:fldCharType="begin"/>
          </w:r>
          <w:r>
            <w:instrText xml:space="preserve"> HYPERLINK \l "_TOC_250003" </w:instrText>
          </w:r>
          <w:r>
            <w:fldChar w:fldCharType="separate"/>
          </w:r>
          <w:r>
            <w:t>九、质疑与投诉</w:t>
          </w:r>
          <w:r>
            <w:rPr>
              <w:rFonts w:ascii="Times New Roman" w:eastAsia="Times New Roman"/>
            </w:rPr>
            <w:tab/>
          </w:r>
          <w:r>
            <w:rPr>
              <w:rFonts w:ascii="Calibri" w:eastAsia="Calibri"/>
            </w:rPr>
            <w:t>15</w:t>
          </w:r>
          <w:r>
            <w:rPr>
              <w:rFonts w:ascii="Calibri" w:eastAsia="Calibri"/>
            </w:rPr>
            <w:fldChar w:fldCharType="end"/>
          </w:r>
        </w:p>
        <w:p>
          <w:pPr>
            <w:pStyle w:val="10"/>
            <w:tabs>
              <w:tab w:val="left" w:pos="1332"/>
              <w:tab w:val="right" w:leader="dot" w:pos="9066"/>
            </w:tabs>
            <w:wordWrap w:val="0"/>
            <w:spacing w:before="118"/>
            <w:rPr>
              <w:rFonts w:ascii="Calibri" w:eastAsia="Calibri"/>
              <w:b w:val="0"/>
            </w:rPr>
          </w:pPr>
          <w:r>
            <w:t>第三部分</w:t>
          </w:r>
          <w:r>
            <w:tab/>
          </w:r>
          <w:r>
            <w:t>评审办法</w:t>
          </w:r>
          <w:r>
            <w:rPr>
              <w:rFonts w:ascii="Times New Roman" w:eastAsia="Times New Roman"/>
            </w:rPr>
            <w:tab/>
          </w:r>
          <w:r>
            <w:rPr>
              <w:rFonts w:ascii="Calibri" w:eastAsia="Calibri"/>
              <w:b w:val="0"/>
            </w:rPr>
            <w:t>16</w:t>
          </w:r>
        </w:p>
        <w:p>
          <w:pPr>
            <w:pStyle w:val="10"/>
            <w:tabs>
              <w:tab w:val="left" w:pos="1332"/>
              <w:tab w:val="right" w:leader="dot" w:pos="9066"/>
            </w:tabs>
            <w:wordWrap w:val="0"/>
            <w:rPr>
              <w:rFonts w:ascii="Calibri" w:eastAsia="Calibri"/>
              <w:b w:val="0"/>
            </w:rPr>
          </w:pPr>
          <w:r>
            <w:fldChar w:fldCharType="begin"/>
          </w:r>
          <w:r>
            <w:instrText xml:space="preserve"> HYPERLINK \l "_TOC_250002" </w:instrText>
          </w:r>
          <w:r>
            <w:fldChar w:fldCharType="separate"/>
          </w:r>
          <w:r>
            <w:t>第四部分</w:t>
          </w:r>
          <w:r>
            <w:tab/>
          </w:r>
          <w:r>
            <w:t>采购需求</w:t>
          </w:r>
          <w:r>
            <w:rPr>
              <w:rFonts w:ascii="Times New Roman" w:eastAsia="Times New Roman"/>
            </w:rPr>
            <w:tab/>
          </w:r>
          <w:r>
            <w:rPr>
              <w:rFonts w:ascii="Calibri" w:eastAsia="Calibri"/>
              <w:b w:val="0"/>
            </w:rPr>
            <w:t>19</w:t>
          </w:r>
          <w:r>
            <w:rPr>
              <w:rFonts w:ascii="Calibri" w:eastAsia="Calibri"/>
              <w:b w:val="0"/>
            </w:rPr>
            <w:fldChar w:fldCharType="end"/>
          </w:r>
        </w:p>
        <w:p>
          <w:pPr>
            <w:pStyle w:val="10"/>
            <w:tabs>
              <w:tab w:val="left" w:pos="1332"/>
              <w:tab w:val="right" w:leader="dot" w:pos="9066"/>
            </w:tabs>
            <w:wordWrap w:val="0"/>
            <w:rPr>
              <w:rFonts w:ascii="Calibri" w:eastAsia="Calibri"/>
              <w:b w:val="0"/>
            </w:rPr>
          </w:pPr>
          <w:r>
            <w:fldChar w:fldCharType="begin"/>
          </w:r>
          <w:r>
            <w:instrText xml:space="preserve"> HYPERLINK \l "_TOC_250001" </w:instrText>
          </w:r>
          <w:r>
            <w:fldChar w:fldCharType="separate"/>
          </w:r>
          <w:r>
            <w:t>第五部分</w:t>
          </w:r>
          <w:r>
            <w:tab/>
          </w:r>
          <w:r>
            <w:t>合同格式及条款（草案）</w:t>
          </w:r>
          <w:r>
            <w:rPr>
              <w:rFonts w:ascii="Times New Roman" w:eastAsia="Times New Roman"/>
            </w:rPr>
            <w:tab/>
          </w:r>
          <w:r>
            <w:rPr>
              <w:rFonts w:ascii="Calibri" w:eastAsia="Calibri"/>
              <w:b w:val="0"/>
            </w:rPr>
            <w:t>21</w:t>
          </w:r>
          <w:r>
            <w:rPr>
              <w:rFonts w:ascii="Calibri" w:eastAsia="Calibri"/>
              <w:b w:val="0"/>
            </w:rPr>
            <w:fldChar w:fldCharType="end"/>
          </w:r>
        </w:p>
        <w:p>
          <w:pPr>
            <w:pStyle w:val="10"/>
            <w:tabs>
              <w:tab w:val="left" w:pos="1332"/>
              <w:tab w:val="right" w:leader="dot" w:pos="9066"/>
            </w:tabs>
            <w:wordWrap w:val="0"/>
            <w:rPr>
              <w:rFonts w:ascii="Calibri" w:eastAsia="Calibri"/>
              <w:b w:val="0"/>
            </w:rPr>
          </w:pPr>
          <w:r>
            <w:fldChar w:fldCharType="begin"/>
          </w:r>
          <w:r>
            <w:instrText xml:space="preserve"> HYPERLINK \l "_TOC_250000" </w:instrText>
          </w:r>
          <w:r>
            <w:fldChar w:fldCharType="separate"/>
          </w:r>
          <w:r>
            <w:t>第六部分</w:t>
          </w:r>
          <w:r>
            <w:tab/>
          </w:r>
          <w:r>
            <w:t>响应文件格式</w:t>
          </w:r>
          <w:r>
            <w:rPr>
              <w:rFonts w:ascii="Times New Roman" w:eastAsia="Times New Roman"/>
            </w:rPr>
            <w:tab/>
          </w:r>
          <w:r>
            <w:rPr>
              <w:rFonts w:ascii="Calibri" w:eastAsia="Calibri"/>
              <w:b w:val="0"/>
            </w:rPr>
            <w:t>25</w:t>
          </w:r>
          <w:r>
            <w:rPr>
              <w:rFonts w:ascii="Calibri" w:eastAsia="Calibri"/>
              <w:b w:val="0"/>
            </w:rPr>
            <w:fldChar w:fldCharType="end"/>
          </w:r>
        </w:p>
      </w:sdtContent>
    </w:sdt>
    <w:p>
      <w:pPr>
        <w:wordWrap w:val="0"/>
        <w:rPr>
          <w:rFonts w:ascii="Calibri" w:eastAsia="Calibri"/>
        </w:rPr>
        <w:sectPr>
          <w:pgSz w:w="11910" w:h="16840"/>
          <w:pgMar w:top="1340" w:right="840" w:bottom="960" w:left="1020" w:header="877" w:footer="770" w:gutter="0"/>
          <w:cols w:space="720" w:num="1"/>
        </w:sectPr>
      </w:pPr>
    </w:p>
    <w:p>
      <w:pPr>
        <w:pStyle w:val="12"/>
        <w:tabs>
          <w:tab w:val="left" w:pos="2208"/>
        </w:tabs>
        <w:wordWrap w:val="0"/>
        <w:spacing w:before="375" w:line="240" w:lineRule="auto"/>
      </w:pPr>
      <w:bookmarkStart w:id="0" w:name="_TOC_250013"/>
      <w:r>
        <w:t>第一部分</w:t>
      </w:r>
      <w:r>
        <w:tab/>
      </w:r>
      <w:bookmarkEnd w:id="0"/>
      <w:r>
        <w:rPr>
          <w:w w:val="95"/>
        </w:rPr>
        <w:t>竞争性磋商邀请函</w:t>
      </w:r>
    </w:p>
    <w:p>
      <w:pPr>
        <w:pStyle w:val="2"/>
        <w:wordWrap w:val="0"/>
        <w:spacing w:before="7"/>
        <w:rPr>
          <w:rFonts w:ascii="Microsoft YaHei UI"/>
          <w:b/>
        </w:rPr>
      </w:pPr>
    </w:p>
    <w:p>
      <w:pPr>
        <w:pStyle w:val="2"/>
        <w:wordWrap w:val="0"/>
        <w:ind w:left="227"/>
      </w:pPr>
      <w:r>
        <w:t>各供应商：</w:t>
      </w:r>
    </w:p>
    <w:p>
      <w:pPr>
        <w:pStyle w:val="2"/>
        <w:wordWrap w:val="0"/>
        <w:spacing w:before="134" w:line="292" w:lineRule="auto"/>
        <w:ind w:left="710" w:right="283" w:hanging="3"/>
        <w:rPr>
          <w:rFonts w:hint="eastAsia" w:eastAsiaTheme="minorEastAsia"/>
          <w:spacing w:val="-3"/>
        </w:rPr>
      </w:pPr>
      <w:r>
        <w:rPr>
          <w:rFonts w:hint="eastAsia" w:eastAsiaTheme="minorEastAsia"/>
          <w:spacing w:val="-3"/>
        </w:rPr>
        <w:t>宿迁市中医院</w:t>
      </w:r>
      <w:r>
        <w:rPr>
          <w:spacing w:val="-3"/>
        </w:rPr>
        <w:t>就</w:t>
      </w:r>
      <w:r>
        <w:rPr>
          <w:rFonts w:hint="eastAsia" w:eastAsiaTheme="minorEastAsia"/>
          <w:spacing w:val="-3"/>
        </w:rPr>
        <w:t>加温毯</w:t>
      </w:r>
      <w:r>
        <w:rPr>
          <w:spacing w:val="-3"/>
        </w:rPr>
        <w:t>采购进行竞争性磋商，欢迎合格供应商前来参加。</w:t>
      </w:r>
      <w:r>
        <w:rPr>
          <w:rFonts w:hint="eastAsia" w:eastAsiaTheme="minorEastAsia"/>
          <w:spacing w:val="-3"/>
        </w:rPr>
        <w:t xml:space="preserve">         </w:t>
      </w:r>
    </w:p>
    <w:p>
      <w:pPr>
        <w:pStyle w:val="2"/>
        <w:wordWrap w:val="0"/>
        <w:spacing w:before="134" w:line="292" w:lineRule="auto"/>
        <w:ind w:left="710" w:right="283" w:hanging="3"/>
        <w:rPr>
          <w:rFonts w:ascii="Microsoft YaHei UI" w:eastAsia="Microsoft YaHei UI"/>
          <w:b/>
        </w:rPr>
      </w:pPr>
      <w:r>
        <w:rPr>
          <w:rFonts w:hint="eastAsia" w:ascii="Microsoft YaHei UI" w:eastAsia="Microsoft YaHei UI"/>
          <w:b/>
        </w:rPr>
        <w:t>一、项目基本信息</w:t>
      </w:r>
    </w:p>
    <w:p>
      <w:pPr>
        <w:pStyle w:val="2"/>
        <w:wordWrap w:val="0"/>
        <w:spacing w:before="132"/>
        <w:ind w:left="708"/>
      </w:pPr>
      <w:r>
        <w:t>（一）项目名称：</w:t>
      </w:r>
      <w:r>
        <w:rPr>
          <w:rFonts w:hint="eastAsia" w:eastAsiaTheme="minorEastAsia"/>
        </w:rPr>
        <w:t>加温毯</w:t>
      </w:r>
      <w:r>
        <w:rPr>
          <w:rFonts w:hint="eastAsia"/>
        </w:rPr>
        <w:t>采购项目</w:t>
      </w:r>
    </w:p>
    <w:p>
      <w:pPr>
        <w:pStyle w:val="2"/>
        <w:wordWrap w:val="0"/>
        <w:spacing w:before="132"/>
        <w:ind w:left="708"/>
      </w:pPr>
      <w:r>
        <w:t>（二）项目编号：</w:t>
      </w:r>
      <w:r>
        <w:rPr>
          <w:rFonts w:hint="eastAsia"/>
        </w:rPr>
        <w:t>SQZYY-ZB-009-2021</w:t>
      </w:r>
    </w:p>
    <w:p>
      <w:pPr>
        <w:pStyle w:val="2"/>
        <w:wordWrap w:val="0"/>
        <w:spacing w:before="132"/>
        <w:ind w:left="708"/>
      </w:pPr>
      <w:r>
        <w:t>（三）项目预算及最高限价：</w:t>
      </w:r>
      <w:r>
        <w:rPr>
          <w:rFonts w:hint="eastAsia" w:eastAsiaTheme="minorEastAsia"/>
        </w:rPr>
        <w:t>15万元（3套）</w:t>
      </w:r>
      <w:r>
        <w:rPr>
          <w:rFonts w:hint="eastAsia"/>
        </w:rPr>
        <w:t xml:space="preserve">                         </w:t>
      </w:r>
    </w:p>
    <w:p>
      <w:pPr>
        <w:pStyle w:val="2"/>
        <w:wordWrap w:val="0"/>
        <w:spacing w:before="132"/>
        <w:ind w:left="708"/>
      </w:pPr>
      <w:r>
        <w:t>（四）主要内容：宿迁市中医院拟采购</w:t>
      </w:r>
      <w:r>
        <w:rPr>
          <w:rFonts w:hint="eastAsia" w:eastAsiaTheme="minorEastAsia"/>
        </w:rPr>
        <w:t>加温毯（3套）</w:t>
      </w:r>
      <w:r>
        <w:t>。</w:t>
      </w:r>
    </w:p>
    <w:p>
      <w:pPr>
        <w:pStyle w:val="2"/>
        <w:wordWrap w:val="0"/>
        <w:spacing w:before="132"/>
        <w:ind w:left="708"/>
      </w:pPr>
      <w:r>
        <w:t>（五）评审办法：本项目采用综合评分法。具体细则详见竞争性磋商文件评审办法部</w:t>
      </w:r>
    </w:p>
    <w:p>
      <w:pPr>
        <w:pStyle w:val="2"/>
        <w:wordWrap w:val="0"/>
        <w:spacing w:before="132"/>
        <w:ind w:left="708"/>
      </w:pPr>
      <w:r>
        <w:t>分。</w:t>
      </w:r>
    </w:p>
    <w:p>
      <w:pPr>
        <w:pStyle w:val="2"/>
        <w:wordWrap w:val="0"/>
        <w:spacing w:before="132"/>
        <w:ind w:left="708"/>
        <w:rPr>
          <w:rFonts w:hint="eastAsia" w:eastAsiaTheme="minorEastAsia"/>
        </w:rPr>
      </w:pPr>
      <w:r>
        <w:t>（六）具体采购需求详见磋商文件采购需求部分。</w:t>
      </w:r>
    </w:p>
    <w:p>
      <w:pPr>
        <w:pStyle w:val="2"/>
        <w:wordWrap w:val="0"/>
        <w:spacing w:before="132"/>
        <w:ind w:left="708"/>
        <w:rPr>
          <w:rFonts w:ascii="Microsoft YaHei UI" w:eastAsia="Microsoft YaHei UI"/>
          <w:b/>
        </w:rPr>
      </w:pPr>
      <w:r>
        <w:rPr>
          <w:rFonts w:hint="eastAsia" w:ascii="Microsoft YaHei UI" w:eastAsia="Microsoft YaHei UI"/>
          <w:b/>
        </w:rPr>
        <w:t>二、合格供应商资格要求</w:t>
      </w:r>
    </w:p>
    <w:p>
      <w:pPr>
        <w:pStyle w:val="2"/>
        <w:wordWrap w:val="0"/>
        <w:spacing w:line="290" w:lineRule="exact"/>
        <w:ind w:left="708"/>
      </w:pPr>
      <w:r>
        <w:t>（一）供应商参加本次竞争性磋商活动应当符合《中华人民共和国政府采购法》第二</w:t>
      </w:r>
    </w:p>
    <w:p>
      <w:pPr>
        <w:pStyle w:val="2"/>
        <w:wordWrap w:val="0"/>
        <w:spacing w:before="134" w:line="343" w:lineRule="auto"/>
        <w:ind w:left="708" w:right="803" w:hanging="481"/>
      </w:pPr>
      <w:r>
        <w:t>十二条、《中华人民共和国政府采购法实施条例》第十七条的规定，并提供下列材料:</w:t>
      </w:r>
      <w:r>
        <w:rPr>
          <w:spacing w:val="-117"/>
        </w:rPr>
        <w:t xml:space="preserve"> </w:t>
      </w:r>
      <w:r>
        <w:t>1.法定代表人或其授权代理人签署的响应函；</w:t>
      </w:r>
    </w:p>
    <w:p>
      <w:pPr>
        <w:pStyle w:val="14"/>
        <w:numPr>
          <w:ilvl w:val="0"/>
          <w:numId w:val="1"/>
        </w:numPr>
        <w:tabs>
          <w:tab w:val="left" w:pos="950"/>
        </w:tabs>
        <w:wordWrap w:val="0"/>
        <w:spacing w:before="0" w:line="306" w:lineRule="exact"/>
        <w:ind w:hanging="242"/>
        <w:rPr>
          <w:sz w:val="24"/>
        </w:rPr>
      </w:pPr>
      <w:r>
        <w:rPr>
          <w:sz w:val="24"/>
        </w:rPr>
        <w:t>法人代表证明或法定代表人授权委托书原件及法人代表和被授权人身份证复印件；</w:t>
      </w:r>
    </w:p>
    <w:p>
      <w:pPr>
        <w:pStyle w:val="14"/>
        <w:numPr>
          <w:ilvl w:val="0"/>
          <w:numId w:val="1"/>
        </w:numPr>
        <w:tabs>
          <w:tab w:val="left" w:pos="950"/>
        </w:tabs>
        <w:wordWrap w:val="0"/>
        <w:spacing w:before="182" w:line="388" w:lineRule="auto"/>
        <w:ind w:left="227" w:right="404" w:firstLine="480"/>
        <w:rPr>
          <w:sz w:val="24"/>
        </w:rPr>
      </w:pPr>
      <w:r>
        <w:rPr>
          <w:spacing w:val="-8"/>
          <w:sz w:val="24"/>
        </w:rPr>
        <w:t>法人或者其他组织的营业执照副本、税务登记证等证明文件</w:t>
      </w:r>
      <w:r>
        <w:rPr>
          <w:sz w:val="24"/>
        </w:rPr>
        <w:t>（</w:t>
      </w:r>
      <w:r>
        <w:rPr>
          <w:spacing w:val="-20"/>
          <w:sz w:val="24"/>
        </w:rPr>
        <w:t>或“三证合一”的 “营</w:t>
      </w:r>
      <w:r>
        <w:rPr>
          <w:sz w:val="24"/>
        </w:rPr>
        <w:t>业执照”或事业单位法人证书）；</w:t>
      </w:r>
    </w:p>
    <w:p>
      <w:pPr>
        <w:pStyle w:val="14"/>
        <w:numPr>
          <w:ilvl w:val="0"/>
          <w:numId w:val="1"/>
        </w:numPr>
        <w:tabs>
          <w:tab w:val="left" w:pos="950"/>
        </w:tabs>
        <w:wordWrap w:val="0"/>
        <w:spacing w:before="2" w:line="391" w:lineRule="auto"/>
        <w:ind w:left="227" w:right="406" w:firstLine="480"/>
        <w:rPr>
          <w:sz w:val="24"/>
        </w:rPr>
      </w:pPr>
      <w:r>
        <w:rPr>
          <w:spacing w:val="-7"/>
          <w:sz w:val="24"/>
        </w:rPr>
        <w:t xml:space="preserve">参加采购活动前 </w:t>
      </w:r>
      <w:r>
        <w:rPr>
          <w:spacing w:val="-1"/>
          <w:sz w:val="24"/>
        </w:rPr>
        <w:t>3 年内（自竞争性磋商文件发出之日起计算</w:t>
      </w:r>
      <w:r>
        <w:rPr>
          <w:sz w:val="24"/>
        </w:rPr>
        <w:t>）在经营活动中没有重大违法记录的书面声明；</w:t>
      </w:r>
    </w:p>
    <w:p>
      <w:pPr>
        <w:pStyle w:val="14"/>
        <w:numPr>
          <w:ilvl w:val="0"/>
          <w:numId w:val="1"/>
        </w:numPr>
        <w:tabs>
          <w:tab w:val="left" w:pos="950"/>
        </w:tabs>
        <w:wordWrap w:val="0"/>
        <w:spacing w:before="0" w:line="258" w:lineRule="exact"/>
        <w:ind w:hanging="242"/>
        <w:rPr>
          <w:sz w:val="24"/>
        </w:rPr>
      </w:pPr>
      <w:r>
        <w:rPr>
          <w:sz w:val="24"/>
        </w:rPr>
        <w:t>所投产品若为医疗器械，须提供涵盖此次响应产品范围的医疗器械经营许可证或经</w:t>
      </w:r>
    </w:p>
    <w:p>
      <w:pPr>
        <w:pStyle w:val="2"/>
        <w:wordWrap w:val="0"/>
        <w:spacing w:before="132"/>
        <w:ind w:left="227"/>
      </w:pPr>
      <w:r>
        <w:t>营备案凭证（生产厂商参与磋商的无需提供、第一类医疗器械无需提供</w:t>
      </w:r>
      <w:r>
        <w:rPr>
          <w:spacing w:val="-120"/>
        </w:rPr>
        <w:t>）</w:t>
      </w:r>
      <w:r>
        <w:t>；</w:t>
      </w:r>
    </w:p>
    <w:p>
      <w:pPr>
        <w:pStyle w:val="14"/>
        <w:numPr>
          <w:ilvl w:val="0"/>
          <w:numId w:val="1"/>
        </w:numPr>
        <w:tabs>
          <w:tab w:val="left" w:pos="951"/>
        </w:tabs>
        <w:wordWrap w:val="0"/>
        <w:spacing w:before="134" w:line="343" w:lineRule="auto"/>
        <w:ind w:left="227" w:right="401" w:firstLine="480"/>
        <w:rPr>
          <w:sz w:val="24"/>
        </w:rPr>
      </w:pPr>
      <w:r>
        <w:rPr>
          <w:sz w:val="24"/>
        </w:rPr>
        <w:t>所投产品若为医疗器械，须提供涵盖此次响应产品范围的医疗器械生产许可证或生产备案凭证（进口产品无需提供</w:t>
      </w:r>
      <w:r>
        <w:rPr>
          <w:spacing w:val="-120"/>
          <w:sz w:val="24"/>
        </w:rPr>
        <w:t>）</w:t>
      </w:r>
      <w:r>
        <w:rPr>
          <w:sz w:val="24"/>
        </w:rPr>
        <w:t>；</w:t>
      </w:r>
    </w:p>
    <w:p>
      <w:pPr>
        <w:pStyle w:val="14"/>
        <w:numPr>
          <w:ilvl w:val="0"/>
          <w:numId w:val="1"/>
        </w:numPr>
        <w:tabs>
          <w:tab w:val="left" w:pos="951"/>
        </w:tabs>
        <w:wordWrap w:val="0"/>
        <w:spacing w:before="0" w:line="345" w:lineRule="auto"/>
        <w:ind w:left="227" w:right="401" w:firstLine="480"/>
        <w:rPr>
          <w:sz w:val="24"/>
        </w:rPr>
      </w:pPr>
      <w:r>
        <w:rPr>
          <w:sz w:val="24"/>
        </w:rPr>
        <w:t>所投产品若为医疗器械，须提供涵盖此次响应产品范围的医疗器械注册证或医疗器械备案凭证；</w:t>
      </w:r>
    </w:p>
    <w:p>
      <w:pPr>
        <w:pStyle w:val="14"/>
        <w:numPr>
          <w:ilvl w:val="0"/>
          <w:numId w:val="1"/>
        </w:numPr>
        <w:tabs>
          <w:tab w:val="left" w:pos="951"/>
        </w:tabs>
        <w:wordWrap w:val="0"/>
        <w:spacing w:before="0" w:line="343" w:lineRule="auto"/>
        <w:ind w:left="227" w:right="407" w:firstLine="480"/>
        <w:rPr>
          <w:sz w:val="24"/>
        </w:rPr>
      </w:pPr>
      <w:r>
        <w:rPr>
          <w:sz w:val="24"/>
        </w:rPr>
        <w:t>所投产品若为进口产品，须提供生产商向响应供应商出具的涵盖此次响应产品范围的经销代理授权书。</w:t>
      </w:r>
    </w:p>
    <w:p>
      <w:pPr>
        <w:wordWrap w:val="0"/>
        <w:spacing w:line="343" w:lineRule="auto"/>
        <w:rPr>
          <w:sz w:val="24"/>
        </w:rPr>
        <w:sectPr>
          <w:pgSz w:w="11910" w:h="16840"/>
          <w:pgMar w:top="1340" w:right="840" w:bottom="960" w:left="1020" w:header="877" w:footer="770" w:gutter="0"/>
          <w:cols w:space="720" w:num="1"/>
        </w:sectPr>
      </w:pPr>
    </w:p>
    <w:p>
      <w:pPr>
        <w:pStyle w:val="2"/>
        <w:wordWrap w:val="0"/>
        <w:spacing w:before="113"/>
        <w:ind w:left="588"/>
      </w:pPr>
      <w:r>
        <w:t>（二）本项目不接受联合体响应。</w:t>
      </w:r>
    </w:p>
    <w:p>
      <w:pPr>
        <w:pStyle w:val="2"/>
        <w:wordWrap w:val="0"/>
        <w:spacing w:before="132" w:line="343" w:lineRule="auto"/>
        <w:ind w:left="227" w:right="455" w:firstLine="480"/>
      </w:pPr>
      <w:r>
        <w:t>单位负责人为同一人或者存在直接控股、管理关系的不同供应商，不得参加本项目同一合同项下的政府采购活动。否则，相关磋商申请将被拒绝。</w:t>
      </w:r>
    </w:p>
    <w:p>
      <w:pPr>
        <w:wordWrap w:val="0"/>
        <w:spacing w:line="363" w:lineRule="exact"/>
        <w:ind w:left="581"/>
        <w:rPr>
          <w:rFonts w:ascii="Microsoft YaHei UI" w:eastAsia="Microsoft YaHei UI"/>
          <w:b/>
          <w:sz w:val="24"/>
        </w:rPr>
      </w:pPr>
      <w:r>
        <w:rPr>
          <w:rFonts w:hint="eastAsia" w:ascii="Microsoft YaHei UI" w:eastAsia="Microsoft YaHei UI"/>
          <w:b/>
          <w:sz w:val="24"/>
        </w:rPr>
        <w:t>三、磋商文件获取信息</w:t>
      </w:r>
    </w:p>
    <w:p>
      <w:pPr>
        <w:pStyle w:val="2"/>
        <w:wordWrap w:val="0"/>
        <w:spacing w:before="125"/>
        <w:ind w:left="708"/>
        <w:jc w:val="both"/>
      </w:pPr>
      <w:r>
        <w:t>（一</w:t>
      </w:r>
      <w:r>
        <w:rPr>
          <w:spacing w:val="-1"/>
        </w:rPr>
        <w:t>）</w:t>
      </w:r>
      <w:r>
        <w:rPr>
          <w:spacing w:val="-10"/>
        </w:rPr>
        <w:t>竞争性磋商文件提供时间：</w:t>
      </w:r>
      <w:r>
        <w:t>2021</w:t>
      </w:r>
      <w:r>
        <w:rPr>
          <w:spacing w:val="-40"/>
        </w:rPr>
        <w:t xml:space="preserve"> 年 </w:t>
      </w:r>
      <w:r>
        <w:rPr>
          <w:rFonts w:hint="eastAsia" w:eastAsiaTheme="minorEastAsia"/>
        </w:rPr>
        <w:t>6</w:t>
      </w:r>
      <w:r>
        <w:rPr>
          <w:spacing w:val="-42"/>
        </w:rPr>
        <w:t>月</w:t>
      </w:r>
      <w:r>
        <w:rPr>
          <w:rFonts w:hint="eastAsia" w:eastAsiaTheme="minorEastAsia"/>
        </w:rPr>
        <w:t>1</w:t>
      </w:r>
      <w:r>
        <w:rPr>
          <w:spacing w:val="-40"/>
        </w:rPr>
        <w:t xml:space="preserve">日至 </w:t>
      </w:r>
      <w:r>
        <w:t>2021</w:t>
      </w:r>
      <w:r>
        <w:rPr>
          <w:spacing w:val="-41"/>
        </w:rPr>
        <w:t xml:space="preserve"> 年 </w:t>
      </w:r>
      <w:r>
        <w:rPr>
          <w:rFonts w:hint="eastAsia" w:eastAsiaTheme="minorEastAsia"/>
        </w:rPr>
        <w:t>6</w:t>
      </w:r>
      <w:r>
        <w:rPr>
          <w:spacing w:val="-42"/>
        </w:rPr>
        <w:t xml:space="preserve">月 </w:t>
      </w:r>
      <w:r>
        <w:rPr>
          <w:rFonts w:hint="eastAsia" w:eastAsiaTheme="minorEastAsia"/>
        </w:rPr>
        <w:t>10</w:t>
      </w:r>
      <w:r>
        <w:rPr>
          <w:spacing w:val="-20"/>
        </w:rPr>
        <w:t>日</w:t>
      </w:r>
      <w:r>
        <w:t>。</w:t>
      </w:r>
    </w:p>
    <w:p>
      <w:pPr>
        <w:pStyle w:val="2"/>
        <w:spacing w:before="143" w:line="343" w:lineRule="auto"/>
        <w:ind w:left="227" w:right="401" w:firstLine="480"/>
      </w:pPr>
      <w:r>
        <w:t>（二）供应商在磋商文件提供时间内，将企业营业执照（传图片）、参与此次竞争性</w:t>
      </w:r>
      <w:r>
        <w:rPr>
          <w:spacing w:val="28"/>
        </w:rPr>
        <w:t>磋商活动的法定代表人或授权委托人身份证</w:t>
      </w:r>
      <w:r>
        <w:t>（</w:t>
      </w:r>
      <w:r>
        <w:rPr>
          <w:spacing w:val="-2"/>
        </w:rPr>
        <w:t xml:space="preserve"> 传图片</w:t>
      </w:r>
      <w:r>
        <w:t>）</w:t>
      </w:r>
      <w:r>
        <w:rPr>
          <w:spacing w:val="15"/>
        </w:rPr>
        <w:t xml:space="preserve"> 、联系电话发送至邮箱：</w:t>
      </w:r>
      <w:r>
        <w:fldChar w:fldCharType="begin"/>
      </w:r>
      <w:r>
        <w:instrText xml:space="preserve"> HYPERLINK "mailto:1119011960@qq.com" </w:instrText>
      </w:r>
      <w:r>
        <w:fldChar w:fldCharType="separate"/>
      </w:r>
      <w:r>
        <w:rPr>
          <w:rStyle w:val="8"/>
          <w:rFonts w:asciiTheme="minorEastAsia" w:hAnsiTheme="minorEastAsia" w:eastAsiaTheme="minorEastAsia"/>
          <w:color w:val="auto"/>
          <w:u w:color="0000FF"/>
        </w:rPr>
        <w:t>1119011960</w:t>
      </w:r>
      <w:r>
        <w:rPr>
          <w:rStyle w:val="8"/>
          <w:rFonts w:ascii="Calibri" w:eastAsia="Calibri"/>
          <w:color w:val="auto"/>
          <w:u w:color="0000FF"/>
        </w:rPr>
        <w:t>@qq.com</w:t>
      </w:r>
      <w:r>
        <w:rPr>
          <w:rStyle w:val="8"/>
          <w:rFonts w:ascii="Calibri" w:eastAsia="Calibri"/>
          <w:color w:val="auto"/>
          <w:u w:color="0000FF"/>
        </w:rPr>
        <w:fldChar w:fldCharType="end"/>
      </w:r>
      <w:r>
        <w:t>。邮件标题注明响应的项目名称及供应商名称。</w:t>
      </w:r>
    </w:p>
    <w:p>
      <w:pPr>
        <w:pStyle w:val="2"/>
        <w:wordWrap w:val="0"/>
        <w:spacing w:before="50" w:line="391" w:lineRule="auto"/>
        <w:ind w:left="227" w:right="406" w:firstLine="480"/>
      </w:pPr>
      <w:r>
        <w:t>（三）在磋商文件提供时间内，采购人收到供应商邮件的，将免费发送竞争性磋商文件至供应商邮箱。</w:t>
      </w:r>
    </w:p>
    <w:p>
      <w:pPr>
        <w:wordWrap w:val="0"/>
        <w:spacing w:line="312" w:lineRule="exact"/>
        <w:ind w:left="581"/>
        <w:rPr>
          <w:rFonts w:ascii="Microsoft YaHei UI" w:eastAsia="Microsoft YaHei UI"/>
          <w:b/>
          <w:sz w:val="24"/>
        </w:rPr>
      </w:pPr>
      <w:r>
        <w:rPr>
          <w:rFonts w:hint="eastAsia" w:ascii="Microsoft YaHei UI" w:eastAsia="Microsoft YaHei UI"/>
          <w:b/>
          <w:sz w:val="24"/>
        </w:rPr>
        <w:t>四、响应文件接收信息</w:t>
      </w:r>
    </w:p>
    <w:p>
      <w:pPr>
        <w:pStyle w:val="2"/>
        <w:wordWrap w:val="0"/>
        <w:spacing w:before="77"/>
        <w:ind w:left="708"/>
      </w:pPr>
      <w:r>
        <w:t>（一）响应文件开始接收时间：2021</w:t>
      </w:r>
      <w:r>
        <w:rPr>
          <w:spacing w:val="-40"/>
        </w:rPr>
        <w:t xml:space="preserve"> 年 </w:t>
      </w:r>
      <w:r>
        <w:rPr>
          <w:rFonts w:hint="eastAsia" w:eastAsiaTheme="minorEastAsia"/>
        </w:rPr>
        <w:t>6</w:t>
      </w:r>
      <w:r>
        <w:rPr>
          <w:spacing w:val="-40"/>
        </w:rPr>
        <w:t xml:space="preserve"> 月 </w:t>
      </w:r>
      <w:r>
        <w:rPr>
          <w:rFonts w:hint="eastAsia" w:eastAsiaTheme="minorEastAsia"/>
        </w:rPr>
        <w:t>11</w:t>
      </w:r>
      <w:r>
        <w:rPr>
          <w:spacing w:val="-40"/>
        </w:rPr>
        <w:t xml:space="preserve">日 </w:t>
      </w:r>
      <w:r>
        <w:t>14:</w:t>
      </w:r>
      <w:r>
        <w:rPr>
          <w:rFonts w:hint="eastAsia" w:eastAsiaTheme="minorEastAsia"/>
        </w:rPr>
        <w:t>00</w:t>
      </w:r>
      <w:r>
        <w:t>。</w:t>
      </w:r>
    </w:p>
    <w:p>
      <w:pPr>
        <w:pStyle w:val="2"/>
        <w:wordWrap w:val="0"/>
        <w:spacing w:before="134" w:line="343" w:lineRule="auto"/>
        <w:ind w:left="227" w:right="404" w:firstLine="480"/>
      </w:pPr>
      <w:r>
        <w:rPr>
          <w:spacing w:val="-3"/>
        </w:rPr>
        <w:t>（</w:t>
      </w:r>
      <w:r>
        <w:rPr>
          <w:spacing w:val="-2"/>
        </w:rPr>
        <w:t>二）递交（接收）首次响应文件截止时间及磋商时间：2021</w:t>
      </w:r>
      <w:r>
        <w:rPr>
          <w:spacing w:val="-41"/>
        </w:rPr>
        <w:t xml:space="preserve"> 年 </w:t>
      </w:r>
      <w:r>
        <w:rPr>
          <w:rFonts w:hint="eastAsia" w:eastAsiaTheme="minorEastAsia"/>
          <w:spacing w:val="-2"/>
        </w:rPr>
        <w:t>6</w:t>
      </w:r>
      <w:r>
        <w:rPr>
          <w:spacing w:val="-41"/>
        </w:rPr>
        <w:t xml:space="preserve">月 </w:t>
      </w:r>
      <w:r>
        <w:rPr>
          <w:rFonts w:hint="eastAsia" w:eastAsiaTheme="minorEastAsia"/>
          <w:spacing w:val="-2"/>
        </w:rPr>
        <w:t>11</w:t>
      </w:r>
      <w:r>
        <w:rPr>
          <w:spacing w:val="-41"/>
        </w:rPr>
        <w:t xml:space="preserve"> 日 </w:t>
      </w:r>
      <w:r>
        <w:rPr>
          <w:spacing w:val="-2"/>
        </w:rPr>
        <w:t>1</w:t>
      </w:r>
      <w:r>
        <w:rPr>
          <w:rFonts w:hint="eastAsia" w:asciiTheme="minorEastAsia" w:hAnsiTheme="minorEastAsia" w:eastAsiaTheme="minorEastAsia"/>
          <w:spacing w:val="-2"/>
        </w:rPr>
        <w:t>4</w:t>
      </w:r>
      <w:r>
        <w:rPr>
          <w:spacing w:val="-2"/>
        </w:rPr>
        <w:t>:</w:t>
      </w:r>
      <w:r>
        <w:rPr>
          <w:rFonts w:hint="eastAsia" w:asciiTheme="minorEastAsia" w:hAnsiTheme="minorEastAsia" w:eastAsiaTheme="minorEastAsia"/>
          <w:spacing w:val="-2"/>
        </w:rPr>
        <w:t>30</w:t>
      </w:r>
      <w:r>
        <w:rPr>
          <w:spacing w:val="-2"/>
        </w:rPr>
        <w:t>（截</w:t>
      </w:r>
      <w:r>
        <w:t>止时间之后递交的响应文件，采购人不予受理）。</w:t>
      </w:r>
    </w:p>
    <w:p>
      <w:pPr>
        <w:pStyle w:val="2"/>
        <w:wordWrap w:val="0"/>
        <w:spacing w:line="306" w:lineRule="exact"/>
        <w:ind w:left="708"/>
        <w:rPr>
          <w:rFonts w:hint="eastAsia" w:eastAsiaTheme="minorEastAsia"/>
          <w:spacing w:val="-7"/>
          <w:w w:val="95"/>
        </w:rPr>
      </w:pPr>
      <w:r>
        <w:t>（三）</w:t>
      </w:r>
      <w:r>
        <w:rPr>
          <w:spacing w:val="-2"/>
        </w:rPr>
        <w:t>响应文件接收及磋商地点：</w:t>
      </w:r>
      <w:r>
        <w:rPr>
          <w:rFonts w:hint="eastAsia" w:eastAsiaTheme="minorEastAsia"/>
          <w:spacing w:val="-2"/>
        </w:rPr>
        <w:t>宿迁市洪泽湖东路9号宿迁市中医院</w:t>
      </w:r>
    </w:p>
    <w:p>
      <w:pPr>
        <w:wordWrap w:val="0"/>
        <w:spacing w:line="312" w:lineRule="exact"/>
        <w:ind w:left="581"/>
        <w:rPr>
          <w:rFonts w:ascii="Microsoft YaHei UI" w:eastAsia="Microsoft YaHei UI"/>
          <w:b/>
          <w:sz w:val="24"/>
        </w:rPr>
      </w:pPr>
      <w:r>
        <w:rPr>
          <w:rFonts w:hint="eastAsia" w:ascii="Microsoft YaHei UI" w:eastAsia="Microsoft YaHei UI"/>
          <w:b/>
          <w:sz w:val="24"/>
        </w:rPr>
        <w:t>五、本次采购联系事项</w:t>
      </w:r>
    </w:p>
    <w:p>
      <w:pPr>
        <w:pStyle w:val="2"/>
        <w:wordWrap w:val="0"/>
        <w:spacing w:before="134"/>
        <w:ind w:left="708"/>
        <w:rPr>
          <w:spacing w:val="-1"/>
        </w:rPr>
      </w:pPr>
      <w:r>
        <w:rPr>
          <w:rFonts w:hint="eastAsia"/>
          <w:spacing w:val="-1"/>
        </w:rPr>
        <w:t>采购人：宿迁市中医院</w:t>
      </w:r>
    </w:p>
    <w:p>
      <w:pPr>
        <w:pStyle w:val="2"/>
        <w:wordWrap w:val="0"/>
        <w:spacing w:before="134"/>
        <w:ind w:left="708"/>
        <w:rPr>
          <w:rFonts w:hint="eastAsia" w:eastAsiaTheme="minorEastAsia"/>
        </w:rPr>
      </w:pPr>
      <w:r>
        <w:rPr>
          <w:spacing w:val="-1"/>
        </w:rPr>
        <w:t>联系人：</w:t>
      </w:r>
      <w:r>
        <w:rPr>
          <w:rFonts w:hint="eastAsia" w:eastAsiaTheme="minorEastAsia"/>
          <w:spacing w:val="-1"/>
        </w:rPr>
        <w:t>招标办袁科长</w:t>
      </w:r>
    </w:p>
    <w:p>
      <w:pPr>
        <w:pStyle w:val="2"/>
        <w:wordWrap w:val="0"/>
        <w:spacing w:before="132"/>
        <w:ind w:left="708"/>
        <w:rPr>
          <w:rFonts w:hint="eastAsia" w:eastAsiaTheme="minorEastAsia"/>
        </w:rPr>
      </w:pPr>
      <w:r>
        <w:rPr>
          <w:spacing w:val="-1"/>
        </w:rPr>
        <w:t>联系电话：</w:t>
      </w:r>
      <w:r>
        <w:rPr>
          <w:rFonts w:hint="eastAsia" w:eastAsiaTheme="minorEastAsia"/>
        </w:rPr>
        <w:t>0527-84480235</w:t>
      </w:r>
    </w:p>
    <w:p>
      <w:pPr>
        <w:wordWrap w:val="0"/>
        <w:spacing w:before="132"/>
        <w:ind w:left="708"/>
        <w:rPr>
          <w:rFonts w:hint="eastAsia" w:ascii="Calibri" w:eastAsiaTheme="minorEastAsia"/>
          <w:sz w:val="21"/>
        </w:rPr>
      </w:pPr>
      <w:r>
        <w:rPr>
          <w:spacing w:val="-1"/>
          <w:sz w:val="24"/>
        </w:rPr>
        <w:t>邮箱11</w:t>
      </w:r>
      <w:r>
        <w:rPr>
          <w:rFonts w:hint="eastAsia" w:asciiTheme="minorEastAsia" w:hAnsiTheme="minorEastAsia" w:eastAsiaTheme="minorEastAsia"/>
          <w:spacing w:val="-1"/>
          <w:sz w:val="24"/>
        </w:rPr>
        <w:t>1</w:t>
      </w:r>
      <w:r>
        <w:rPr>
          <w:spacing w:val="-1"/>
          <w:sz w:val="24"/>
        </w:rPr>
        <w:t>9011960@qq.com</w:t>
      </w:r>
    </w:p>
    <w:p>
      <w:pPr>
        <w:pStyle w:val="2"/>
        <w:wordWrap w:val="0"/>
        <w:spacing w:before="134" w:line="343" w:lineRule="auto"/>
        <w:ind w:left="708" w:right="3572"/>
        <w:rPr>
          <w:rFonts w:hint="eastAsia" w:eastAsiaTheme="minorEastAsia"/>
          <w:spacing w:val="-1"/>
        </w:rPr>
      </w:pPr>
      <w:r>
        <w:rPr>
          <w:spacing w:val="-1"/>
        </w:rPr>
        <w:t>联系地址：宿迁市中医院招标办公室</w:t>
      </w:r>
      <w:r>
        <w:rPr>
          <w:rFonts w:hint="eastAsia" w:eastAsiaTheme="minorEastAsia"/>
          <w:spacing w:val="-1"/>
        </w:rPr>
        <w:t>（内科楼9楼919室）</w:t>
      </w:r>
    </w:p>
    <w:p>
      <w:pPr>
        <w:pStyle w:val="2"/>
        <w:wordWrap w:val="0"/>
        <w:spacing w:before="134" w:line="343" w:lineRule="auto"/>
        <w:ind w:left="708" w:right="4295"/>
      </w:pPr>
      <w:r>
        <w:t>邮政编码：223800</w:t>
      </w:r>
    </w:p>
    <w:p>
      <w:pPr>
        <w:wordWrap w:val="0"/>
        <w:spacing w:line="361" w:lineRule="exact"/>
        <w:ind w:left="581"/>
        <w:rPr>
          <w:rFonts w:ascii="Microsoft YaHei UI" w:eastAsia="Microsoft YaHei UI"/>
          <w:b/>
          <w:sz w:val="24"/>
        </w:rPr>
      </w:pPr>
      <w:r>
        <w:rPr>
          <w:rFonts w:hint="eastAsia" w:ascii="Microsoft YaHei UI" w:eastAsia="Microsoft YaHei UI"/>
          <w:b/>
          <w:sz w:val="24"/>
        </w:rPr>
        <w:t>六、公告期限及其他事项</w:t>
      </w:r>
    </w:p>
    <w:p>
      <w:pPr>
        <w:pStyle w:val="14"/>
        <w:numPr>
          <w:ilvl w:val="0"/>
          <w:numId w:val="2"/>
        </w:numPr>
        <w:tabs>
          <w:tab w:val="left" w:pos="943"/>
        </w:tabs>
        <w:wordWrap w:val="0"/>
        <w:spacing w:before="80" w:line="343" w:lineRule="auto"/>
        <w:ind w:left="227" w:right="461" w:firstLine="353"/>
        <w:rPr>
          <w:sz w:val="24"/>
        </w:rPr>
      </w:pPr>
      <w:r>
        <w:rPr>
          <w:spacing w:val="-1"/>
          <w:sz w:val="24"/>
        </w:rPr>
        <w:t>本采购公告（采购文件公告）期限，为本采购公告</w:t>
      </w:r>
      <w:r>
        <w:rPr>
          <w:sz w:val="24"/>
        </w:rPr>
        <w:t>（采购文件）</w:t>
      </w:r>
      <w:r>
        <w:rPr>
          <w:spacing w:val="-10"/>
          <w:sz w:val="24"/>
        </w:rPr>
        <w:t xml:space="preserve">发布之日起 </w:t>
      </w:r>
      <w:r>
        <w:rPr>
          <w:sz w:val="24"/>
        </w:rPr>
        <w:t>5</w:t>
      </w:r>
      <w:r>
        <w:rPr>
          <w:spacing w:val="-20"/>
          <w:sz w:val="24"/>
        </w:rPr>
        <w:t xml:space="preserve"> 个工</w:t>
      </w:r>
      <w:r>
        <w:rPr>
          <w:sz w:val="24"/>
        </w:rPr>
        <w:t>作日。采购公告发布媒体：宿迁市中医院官网。</w:t>
      </w:r>
    </w:p>
    <w:p>
      <w:pPr>
        <w:pStyle w:val="14"/>
        <w:numPr>
          <w:ilvl w:val="0"/>
          <w:numId w:val="2"/>
        </w:numPr>
        <w:tabs>
          <w:tab w:val="left" w:pos="943"/>
        </w:tabs>
        <w:wordWrap w:val="0"/>
        <w:spacing w:before="0" w:line="306" w:lineRule="exact"/>
        <w:ind w:left="942" w:hanging="362"/>
        <w:rPr>
          <w:sz w:val="24"/>
        </w:rPr>
      </w:pPr>
      <w:r>
        <w:rPr>
          <w:sz w:val="24"/>
        </w:rPr>
        <w:t>以上邀请函内容如有变动，将在相关媒体上另行通知。</w:t>
      </w:r>
    </w:p>
    <w:p>
      <w:pPr>
        <w:pStyle w:val="2"/>
        <w:wordWrap w:val="0"/>
      </w:pPr>
    </w:p>
    <w:p>
      <w:pPr>
        <w:pStyle w:val="2"/>
        <w:wordWrap w:val="0"/>
      </w:pPr>
    </w:p>
    <w:p>
      <w:pPr>
        <w:pStyle w:val="2"/>
        <w:wordWrap w:val="0"/>
        <w:spacing w:line="345" w:lineRule="auto"/>
        <w:ind w:left="6625" w:right="1362" w:hanging="104"/>
        <w:rPr>
          <w:rFonts w:hint="eastAsia" w:eastAsiaTheme="minorEastAsia"/>
          <w:spacing w:val="-1"/>
        </w:rPr>
      </w:pPr>
    </w:p>
    <w:p>
      <w:pPr>
        <w:pStyle w:val="2"/>
        <w:wordWrap w:val="0"/>
        <w:spacing w:line="345" w:lineRule="auto"/>
        <w:ind w:left="6625" w:right="1362" w:hanging="104"/>
        <w:rPr>
          <w:rFonts w:hint="eastAsia" w:eastAsiaTheme="minorEastAsia"/>
          <w:spacing w:val="-1"/>
        </w:rPr>
      </w:pPr>
      <w:r>
        <w:rPr>
          <w:spacing w:val="-1"/>
        </w:rPr>
        <w:t>宿迁市中医院</w:t>
      </w:r>
    </w:p>
    <w:p>
      <w:pPr>
        <w:pStyle w:val="2"/>
        <w:wordWrap w:val="0"/>
        <w:spacing w:line="345" w:lineRule="auto"/>
        <w:ind w:left="6625" w:right="1362" w:hanging="104"/>
      </w:pPr>
      <w:r>
        <w:rPr>
          <w:w w:val="95"/>
        </w:rPr>
        <w:t>2021</w:t>
      </w:r>
      <w:r>
        <w:rPr>
          <w:spacing w:val="-32"/>
          <w:w w:val="95"/>
        </w:rPr>
        <w:t xml:space="preserve"> 年 </w:t>
      </w:r>
      <w:r>
        <w:rPr>
          <w:rFonts w:hint="eastAsia" w:eastAsiaTheme="minorEastAsia"/>
          <w:w w:val="95"/>
        </w:rPr>
        <w:t>6</w:t>
      </w:r>
      <w:r>
        <w:rPr>
          <w:spacing w:val="-32"/>
          <w:w w:val="95"/>
        </w:rPr>
        <w:t xml:space="preserve">月 </w:t>
      </w:r>
      <w:r>
        <w:rPr>
          <w:rFonts w:hint="eastAsia" w:eastAsiaTheme="minorEastAsia"/>
          <w:w w:val="95"/>
        </w:rPr>
        <w:t>1</w:t>
      </w:r>
      <w:r>
        <w:rPr>
          <w:spacing w:val="-24"/>
          <w:w w:val="95"/>
        </w:rPr>
        <w:t>日</w:t>
      </w:r>
    </w:p>
    <w:p>
      <w:pPr>
        <w:wordWrap w:val="0"/>
        <w:spacing w:line="345" w:lineRule="auto"/>
        <w:sectPr>
          <w:pgSz w:w="11910" w:h="16840"/>
          <w:pgMar w:top="1340" w:right="840" w:bottom="960" w:left="1020" w:header="877" w:footer="770" w:gutter="0"/>
          <w:cols w:space="720" w:num="1"/>
        </w:sectPr>
      </w:pPr>
    </w:p>
    <w:p>
      <w:pPr>
        <w:pStyle w:val="2"/>
        <w:wordWrap w:val="0"/>
        <w:spacing w:before="5"/>
        <w:rPr>
          <w:sz w:val="29"/>
        </w:rPr>
      </w:pPr>
    </w:p>
    <w:p>
      <w:pPr>
        <w:pStyle w:val="12"/>
        <w:tabs>
          <w:tab w:val="left" w:pos="2429"/>
        </w:tabs>
        <w:wordWrap w:val="0"/>
        <w:spacing w:line="702" w:lineRule="exact"/>
      </w:pPr>
      <w:bookmarkStart w:id="1" w:name="_TOC_250012"/>
      <w:r>
        <w:t>第二部分</w:t>
      </w:r>
      <w:r>
        <w:tab/>
      </w:r>
      <w:bookmarkEnd w:id="1"/>
      <w:r>
        <w:rPr>
          <w:w w:val="95"/>
        </w:rPr>
        <w:t>供应商须知</w:t>
      </w:r>
    </w:p>
    <w:p>
      <w:pPr>
        <w:pStyle w:val="2"/>
        <w:wordWrap w:val="0"/>
        <w:spacing w:before="11"/>
        <w:rPr>
          <w:rFonts w:ascii="Microsoft YaHei UI"/>
          <w:b/>
          <w:sz w:val="20"/>
        </w:rPr>
      </w:pPr>
    </w:p>
    <w:p>
      <w:pPr>
        <w:pStyle w:val="13"/>
        <w:wordWrap w:val="0"/>
        <w:spacing w:before="2"/>
        <w:ind w:left="227"/>
      </w:pPr>
      <w:bookmarkStart w:id="2" w:name="_TOC_250011"/>
      <w:bookmarkEnd w:id="2"/>
      <w:r>
        <w:t>须知前附表</w:t>
      </w:r>
    </w:p>
    <w:tbl>
      <w:tblPr>
        <w:tblStyle w:val="9"/>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0"/>
        <w:gridCol w:w="1844"/>
        <w:gridCol w:w="6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5"/>
              <w:wordWrap w:val="0"/>
              <w:spacing w:before="14" w:line="396" w:lineRule="exact"/>
              <w:ind w:left="118" w:right="212"/>
              <w:jc w:val="center"/>
              <w:rPr>
                <w:rFonts w:ascii="Microsoft YaHei UI" w:eastAsia="Microsoft YaHei UI"/>
                <w:b/>
                <w:sz w:val="24"/>
              </w:rPr>
            </w:pPr>
            <w:r>
              <w:rPr>
                <w:rFonts w:hint="eastAsia" w:ascii="Microsoft YaHei UI" w:eastAsia="Microsoft YaHei UI"/>
                <w:b/>
                <w:sz w:val="24"/>
              </w:rPr>
              <w:t>序号</w:t>
            </w:r>
          </w:p>
        </w:tc>
        <w:tc>
          <w:tcPr>
            <w:tcW w:w="1844" w:type="dxa"/>
          </w:tcPr>
          <w:p>
            <w:pPr>
              <w:pStyle w:val="15"/>
              <w:wordWrap w:val="0"/>
              <w:spacing w:before="14" w:line="396" w:lineRule="exact"/>
              <w:ind w:left="129" w:right="224"/>
              <w:jc w:val="center"/>
              <w:rPr>
                <w:rFonts w:ascii="Microsoft YaHei UI" w:eastAsia="Microsoft YaHei UI"/>
                <w:b/>
                <w:sz w:val="24"/>
              </w:rPr>
            </w:pPr>
            <w:r>
              <w:rPr>
                <w:rFonts w:hint="eastAsia" w:ascii="Microsoft YaHei UI" w:eastAsia="Microsoft YaHei UI"/>
                <w:b/>
                <w:sz w:val="24"/>
              </w:rPr>
              <w:t>内容</w:t>
            </w:r>
          </w:p>
        </w:tc>
        <w:tc>
          <w:tcPr>
            <w:tcW w:w="6806" w:type="dxa"/>
          </w:tcPr>
          <w:p>
            <w:pPr>
              <w:pStyle w:val="15"/>
              <w:wordWrap w:val="0"/>
              <w:spacing w:before="14" w:line="396" w:lineRule="exact"/>
              <w:ind w:left="2726" w:right="2830"/>
              <w:jc w:val="center"/>
              <w:rPr>
                <w:rFonts w:ascii="Microsoft YaHei UI" w:eastAsia="Microsoft YaHei UI"/>
                <w:b/>
                <w:sz w:val="24"/>
              </w:rPr>
            </w:pPr>
            <w:r>
              <w:rPr>
                <w:rFonts w:hint="eastAsia" w:ascii="Microsoft YaHei UI" w:eastAsia="Microsoft YaHei UI"/>
                <w:b/>
                <w:sz w:val="24"/>
              </w:rPr>
              <w:t>说明及要求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0" w:type="dxa"/>
          </w:tcPr>
          <w:p>
            <w:pPr>
              <w:pStyle w:val="15"/>
              <w:wordWrap w:val="0"/>
              <w:spacing w:before="37"/>
              <w:ind w:right="92"/>
              <w:jc w:val="center"/>
              <w:rPr>
                <w:sz w:val="28"/>
              </w:rPr>
            </w:pPr>
            <w:r>
              <w:rPr>
                <w:sz w:val="28"/>
              </w:rPr>
              <w:t>1</w:t>
            </w:r>
          </w:p>
        </w:tc>
        <w:tc>
          <w:tcPr>
            <w:tcW w:w="1844" w:type="dxa"/>
          </w:tcPr>
          <w:p>
            <w:pPr>
              <w:pStyle w:val="15"/>
              <w:wordWrap w:val="0"/>
              <w:spacing w:before="12" w:line="396" w:lineRule="exact"/>
              <w:ind w:left="129" w:right="225"/>
              <w:jc w:val="center"/>
              <w:rPr>
                <w:rFonts w:ascii="Microsoft YaHei UI" w:eastAsia="Microsoft YaHei UI"/>
                <w:b/>
                <w:sz w:val="24"/>
              </w:rPr>
            </w:pPr>
            <w:r>
              <w:rPr>
                <w:rFonts w:hint="eastAsia" w:ascii="Microsoft YaHei UI" w:eastAsia="Microsoft YaHei UI"/>
                <w:b/>
                <w:sz w:val="24"/>
              </w:rPr>
              <w:t>磋商保证金</w:t>
            </w:r>
          </w:p>
        </w:tc>
        <w:tc>
          <w:tcPr>
            <w:tcW w:w="6806" w:type="dxa"/>
          </w:tcPr>
          <w:p>
            <w:pPr>
              <w:pStyle w:val="15"/>
              <w:wordWrap w:val="0"/>
              <w:spacing w:before="77"/>
              <w:ind w:left="104"/>
              <w:rPr>
                <w:sz w:val="24"/>
              </w:rPr>
            </w:pPr>
            <w:r>
              <w:rPr>
                <w:sz w:val="24"/>
              </w:rPr>
              <w:t>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5"/>
              <w:wordWrap w:val="0"/>
              <w:spacing w:before="39"/>
              <w:ind w:right="92"/>
              <w:jc w:val="center"/>
              <w:rPr>
                <w:sz w:val="28"/>
              </w:rPr>
            </w:pPr>
            <w:r>
              <w:rPr>
                <w:sz w:val="28"/>
              </w:rPr>
              <w:t>2</w:t>
            </w:r>
          </w:p>
        </w:tc>
        <w:tc>
          <w:tcPr>
            <w:tcW w:w="1844" w:type="dxa"/>
          </w:tcPr>
          <w:p>
            <w:pPr>
              <w:pStyle w:val="15"/>
              <w:wordWrap w:val="0"/>
              <w:spacing w:before="14" w:line="396" w:lineRule="exact"/>
              <w:ind w:left="129" w:right="225"/>
              <w:jc w:val="center"/>
              <w:rPr>
                <w:rFonts w:ascii="Microsoft YaHei UI" w:eastAsia="Microsoft YaHei UI"/>
                <w:b/>
                <w:sz w:val="24"/>
              </w:rPr>
            </w:pPr>
            <w:r>
              <w:rPr>
                <w:rFonts w:hint="eastAsia" w:ascii="Microsoft YaHei UI" w:eastAsia="Microsoft YaHei UI"/>
                <w:b/>
                <w:sz w:val="24"/>
              </w:rPr>
              <w:t>响应有效期</w:t>
            </w:r>
          </w:p>
        </w:tc>
        <w:tc>
          <w:tcPr>
            <w:tcW w:w="6806" w:type="dxa"/>
          </w:tcPr>
          <w:p>
            <w:pPr>
              <w:pStyle w:val="15"/>
              <w:wordWrap w:val="0"/>
              <w:spacing w:before="79"/>
              <w:ind w:left="104"/>
              <w:rPr>
                <w:sz w:val="24"/>
              </w:rPr>
            </w:pPr>
            <w:r>
              <w:rPr>
                <w:spacing w:val="2"/>
                <w:w w:val="95"/>
                <w:sz w:val="24"/>
              </w:rPr>
              <w:t xml:space="preserve">响应文件接收截止之日起 </w:t>
            </w:r>
            <w:r>
              <w:rPr>
                <w:w w:val="95"/>
                <w:sz w:val="24"/>
                <w:u w:val="single"/>
              </w:rPr>
              <w:t>60</w:t>
            </w:r>
            <w:r>
              <w:rPr>
                <w:spacing w:val="9"/>
                <w:w w:val="95"/>
                <w:sz w:val="24"/>
              </w:rPr>
              <w:t xml:space="preserve">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0" w:type="dxa"/>
          </w:tcPr>
          <w:p>
            <w:pPr>
              <w:pStyle w:val="15"/>
              <w:wordWrap w:val="0"/>
              <w:spacing w:before="37"/>
              <w:ind w:right="92"/>
              <w:jc w:val="center"/>
              <w:rPr>
                <w:sz w:val="28"/>
              </w:rPr>
            </w:pPr>
            <w:r>
              <w:rPr>
                <w:sz w:val="28"/>
              </w:rPr>
              <w:t>3</w:t>
            </w:r>
          </w:p>
        </w:tc>
        <w:tc>
          <w:tcPr>
            <w:tcW w:w="1844" w:type="dxa"/>
          </w:tcPr>
          <w:p>
            <w:pPr>
              <w:pStyle w:val="15"/>
              <w:wordWrap w:val="0"/>
              <w:spacing w:before="12" w:line="396" w:lineRule="exact"/>
              <w:ind w:left="129" w:right="225"/>
              <w:jc w:val="center"/>
              <w:rPr>
                <w:rFonts w:ascii="Microsoft YaHei UI" w:eastAsia="Microsoft YaHei UI"/>
                <w:b/>
                <w:sz w:val="24"/>
              </w:rPr>
            </w:pPr>
            <w:r>
              <w:rPr>
                <w:rFonts w:hint="eastAsia" w:ascii="Microsoft YaHei UI" w:eastAsia="Microsoft YaHei UI"/>
                <w:b/>
                <w:sz w:val="24"/>
              </w:rPr>
              <w:t>响应文件份数</w:t>
            </w:r>
          </w:p>
        </w:tc>
        <w:tc>
          <w:tcPr>
            <w:tcW w:w="6806" w:type="dxa"/>
          </w:tcPr>
          <w:p>
            <w:pPr>
              <w:pStyle w:val="15"/>
              <w:wordWrap w:val="0"/>
              <w:spacing w:before="77"/>
              <w:ind w:left="104"/>
              <w:rPr>
                <w:sz w:val="24"/>
              </w:rPr>
            </w:pPr>
            <w:r>
              <w:rPr>
                <w:spacing w:val="-20"/>
                <w:sz w:val="24"/>
              </w:rPr>
              <w:t xml:space="preserve">正本 </w:t>
            </w:r>
            <w:r>
              <w:rPr>
                <w:sz w:val="24"/>
              </w:rPr>
              <w:t>1</w:t>
            </w:r>
            <w:r>
              <w:rPr>
                <w:spacing w:val="-20"/>
                <w:sz w:val="24"/>
              </w:rPr>
              <w:t xml:space="preserve"> 份，副本 </w:t>
            </w:r>
            <w:r>
              <w:rPr>
                <w:sz w:val="24"/>
              </w:rPr>
              <w:t>4</w:t>
            </w:r>
            <w:r>
              <w:rPr>
                <w:spacing w:val="-20"/>
                <w:sz w:val="24"/>
              </w:rPr>
              <w:t xml:space="preserve"> 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5"/>
              <w:wordWrap w:val="0"/>
              <w:spacing w:before="40"/>
              <w:ind w:right="92"/>
              <w:jc w:val="center"/>
              <w:rPr>
                <w:sz w:val="28"/>
              </w:rPr>
            </w:pPr>
            <w:r>
              <w:rPr>
                <w:sz w:val="28"/>
              </w:rPr>
              <w:t>4</w:t>
            </w:r>
          </w:p>
        </w:tc>
        <w:tc>
          <w:tcPr>
            <w:tcW w:w="1844" w:type="dxa"/>
          </w:tcPr>
          <w:p>
            <w:pPr>
              <w:pStyle w:val="15"/>
              <w:wordWrap w:val="0"/>
              <w:spacing w:before="15" w:line="396" w:lineRule="exact"/>
              <w:ind w:left="129" w:right="119"/>
              <w:jc w:val="center"/>
              <w:rPr>
                <w:rFonts w:ascii="Microsoft YaHei UI" w:eastAsia="Microsoft YaHei UI"/>
                <w:b/>
                <w:sz w:val="24"/>
              </w:rPr>
            </w:pPr>
            <w:r>
              <w:rPr>
                <w:rFonts w:hint="eastAsia" w:ascii="Microsoft YaHei UI" w:eastAsia="Microsoft YaHei UI"/>
                <w:b/>
                <w:sz w:val="24"/>
              </w:rPr>
              <w:t>评审办法</w:t>
            </w:r>
          </w:p>
        </w:tc>
        <w:tc>
          <w:tcPr>
            <w:tcW w:w="6806" w:type="dxa"/>
          </w:tcPr>
          <w:p>
            <w:pPr>
              <w:pStyle w:val="15"/>
              <w:wordWrap w:val="0"/>
              <w:spacing w:before="80"/>
              <w:ind w:left="104"/>
              <w:rPr>
                <w:sz w:val="24"/>
              </w:rPr>
            </w:pPr>
            <w:r>
              <w:rPr>
                <w:sz w:val="24"/>
              </w:rPr>
              <w:t>采用综合评分法，具体细则详见竞争性磋商文件评审办法部分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860" w:type="dxa"/>
          </w:tcPr>
          <w:p>
            <w:pPr>
              <w:pStyle w:val="15"/>
              <w:wordWrap w:val="0"/>
              <w:spacing w:before="3"/>
              <w:rPr>
                <w:rFonts w:ascii="Microsoft YaHei UI"/>
                <w:b/>
                <w:sz w:val="39"/>
              </w:rPr>
            </w:pPr>
          </w:p>
          <w:p>
            <w:pPr>
              <w:pStyle w:val="15"/>
              <w:wordWrap w:val="0"/>
              <w:ind w:right="92"/>
              <w:jc w:val="center"/>
              <w:rPr>
                <w:sz w:val="28"/>
              </w:rPr>
            </w:pPr>
            <w:r>
              <w:rPr>
                <w:sz w:val="28"/>
              </w:rPr>
              <w:t>5</w:t>
            </w:r>
          </w:p>
        </w:tc>
        <w:tc>
          <w:tcPr>
            <w:tcW w:w="1844" w:type="dxa"/>
          </w:tcPr>
          <w:p>
            <w:pPr>
              <w:pStyle w:val="15"/>
              <w:wordWrap w:val="0"/>
              <w:rPr>
                <w:rFonts w:ascii="Microsoft YaHei UI"/>
                <w:b/>
                <w:sz w:val="24"/>
              </w:rPr>
            </w:pPr>
          </w:p>
          <w:p>
            <w:pPr>
              <w:pStyle w:val="15"/>
              <w:wordWrap w:val="0"/>
              <w:spacing w:before="14"/>
              <w:rPr>
                <w:rFonts w:ascii="Microsoft YaHei UI"/>
                <w:b/>
                <w:sz w:val="13"/>
              </w:rPr>
            </w:pPr>
          </w:p>
          <w:p>
            <w:pPr>
              <w:pStyle w:val="15"/>
              <w:wordWrap w:val="0"/>
              <w:ind w:left="129" w:right="225"/>
              <w:jc w:val="center"/>
              <w:rPr>
                <w:rFonts w:ascii="Microsoft YaHei UI" w:eastAsia="Microsoft YaHei UI"/>
                <w:b/>
                <w:sz w:val="24"/>
              </w:rPr>
            </w:pPr>
            <w:r>
              <w:rPr>
                <w:rFonts w:hint="eastAsia" w:ascii="Microsoft YaHei UI" w:eastAsia="Microsoft YaHei UI"/>
                <w:b/>
                <w:sz w:val="24"/>
              </w:rPr>
              <w:t>其他说明</w:t>
            </w:r>
          </w:p>
        </w:tc>
        <w:tc>
          <w:tcPr>
            <w:tcW w:w="6806" w:type="dxa"/>
          </w:tcPr>
          <w:p>
            <w:pPr>
              <w:pStyle w:val="15"/>
              <w:wordWrap w:val="0"/>
              <w:spacing w:before="77" w:line="343" w:lineRule="auto"/>
              <w:ind w:left="104" w:right="205"/>
              <w:jc w:val="both"/>
              <w:rPr>
                <w:sz w:val="24"/>
              </w:rPr>
            </w:pPr>
            <w:r>
              <w:rPr>
                <w:sz w:val="24"/>
              </w:rPr>
              <w:t>供应商须在规定的时间和地点参加磋商，并在响应文件接收截止时间前提供以下资料</w:t>
            </w:r>
            <w:r>
              <w:rPr>
                <w:spacing w:val="-144"/>
                <w:sz w:val="24"/>
              </w:rPr>
              <w:t>：</w:t>
            </w:r>
            <w:r>
              <w:rPr>
                <w:sz w:val="24"/>
              </w:rPr>
              <w:t>（1</w:t>
            </w:r>
            <w:r>
              <w:rPr>
                <w:spacing w:val="-24"/>
                <w:sz w:val="24"/>
              </w:rPr>
              <w:t>）</w:t>
            </w:r>
            <w:r>
              <w:rPr>
                <w:spacing w:val="-6"/>
                <w:sz w:val="24"/>
              </w:rPr>
              <w:t>响应文件</w:t>
            </w:r>
            <w:r>
              <w:rPr>
                <w:sz w:val="24"/>
              </w:rPr>
              <w:t>（密封投送</w:t>
            </w:r>
            <w:r>
              <w:rPr>
                <w:spacing w:val="-120"/>
                <w:sz w:val="24"/>
              </w:rPr>
              <w:t>）</w:t>
            </w:r>
            <w:r>
              <w:rPr>
                <w:spacing w:val="-144"/>
                <w:sz w:val="24"/>
              </w:rPr>
              <w:t>；</w:t>
            </w:r>
            <w:r>
              <w:rPr>
                <w:sz w:val="24"/>
              </w:rPr>
              <w:t>（2</w:t>
            </w:r>
            <w:r>
              <w:rPr>
                <w:spacing w:val="-24"/>
                <w:sz w:val="24"/>
              </w:rPr>
              <w:t>）</w:t>
            </w:r>
            <w:r>
              <w:rPr>
                <w:spacing w:val="-8"/>
                <w:sz w:val="24"/>
              </w:rPr>
              <w:t>法人</w:t>
            </w:r>
            <w:r>
              <w:rPr>
                <w:w w:val="95"/>
                <w:sz w:val="24"/>
              </w:rPr>
              <w:t>代表（或授权委托人）身份证。 并在磋商现场进行二轮或多轮</w:t>
            </w:r>
          </w:p>
          <w:p>
            <w:pPr>
              <w:pStyle w:val="15"/>
              <w:wordWrap w:val="0"/>
              <w:spacing w:before="1"/>
              <w:ind w:left="104"/>
              <w:rPr>
                <w:sz w:val="24"/>
              </w:rPr>
            </w:pPr>
            <w:r>
              <w:rPr>
                <w:sz w:val="24"/>
              </w:rPr>
              <w:t>报价。</w:t>
            </w:r>
          </w:p>
        </w:tc>
      </w:tr>
    </w:tbl>
    <w:p>
      <w:pPr>
        <w:pStyle w:val="2"/>
        <w:wordWrap w:val="0"/>
        <w:rPr>
          <w:rFonts w:ascii="Microsoft YaHei UI"/>
          <w:b/>
          <w:sz w:val="20"/>
        </w:rPr>
      </w:pPr>
    </w:p>
    <w:p>
      <w:pPr>
        <w:pStyle w:val="2"/>
        <w:wordWrap w:val="0"/>
        <w:spacing w:before="3"/>
        <w:rPr>
          <w:rFonts w:ascii="Microsoft YaHei UI"/>
          <w:b/>
        </w:rPr>
      </w:pPr>
    </w:p>
    <w:p>
      <w:pPr>
        <w:wordWrap w:val="0"/>
        <w:spacing w:line="570" w:lineRule="exact"/>
        <w:ind w:right="173"/>
        <w:jc w:val="center"/>
        <w:rPr>
          <w:rFonts w:ascii="Microsoft YaHei UI" w:eastAsia="Microsoft YaHei UI"/>
          <w:b/>
          <w:sz w:val="36"/>
        </w:rPr>
      </w:pPr>
      <w:bookmarkStart w:id="3" w:name="_TOC_250010"/>
      <w:bookmarkEnd w:id="3"/>
      <w:r>
        <w:rPr>
          <w:rFonts w:hint="eastAsia" w:ascii="Microsoft YaHei UI" w:eastAsia="Microsoft YaHei UI"/>
          <w:b/>
          <w:spacing w:val="15"/>
          <w:sz w:val="36"/>
        </w:rPr>
        <w:t>一、总 则</w:t>
      </w:r>
    </w:p>
    <w:p>
      <w:pPr>
        <w:wordWrap w:val="0"/>
        <w:spacing w:line="404" w:lineRule="exact"/>
        <w:ind w:left="710"/>
        <w:rPr>
          <w:rFonts w:ascii="Microsoft YaHei UI" w:eastAsia="Microsoft YaHei UI"/>
          <w:b/>
          <w:sz w:val="24"/>
        </w:rPr>
      </w:pPr>
      <w:r>
        <w:rPr>
          <w:rFonts w:hint="eastAsia" w:ascii="Microsoft YaHei UI" w:eastAsia="Microsoft YaHei UI"/>
          <w:b/>
          <w:sz w:val="24"/>
        </w:rPr>
        <w:t>（一）采购方式</w:t>
      </w:r>
    </w:p>
    <w:p>
      <w:pPr>
        <w:pStyle w:val="2"/>
        <w:wordWrap w:val="0"/>
        <w:spacing w:before="77"/>
        <w:ind w:left="708"/>
      </w:pPr>
      <w:r>
        <w:t>本次采购采取竞争性磋商方式。</w:t>
      </w:r>
    </w:p>
    <w:p>
      <w:pPr>
        <w:wordWrap w:val="0"/>
        <w:spacing w:before="67"/>
        <w:ind w:left="710"/>
        <w:rPr>
          <w:rFonts w:ascii="Microsoft YaHei UI" w:eastAsia="Microsoft YaHei UI"/>
          <w:b/>
          <w:sz w:val="24"/>
        </w:rPr>
      </w:pPr>
      <w:r>
        <w:rPr>
          <w:rFonts w:hint="eastAsia" w:ascii="Microsoft YaHei UI" w:eastAsia="Microsoft YaHei UI"/>
          <w:b/>
          <w:sz w:val="24"/>
        </w:rPr>
        <w:t>（二）合格的供应商</w:t>
      </w:r>
    </w:p>
    <w:p>
      <w:pPr>
        <w:pStyle w:val="14"/>
        <w:numPr>
          <w:ilvl w:val="1"/>
          <w:numId w:val="2"/>
        </w:numPr>
        <w:tabs>
          <w:tab w:val="left" w:pos="1070"/>
        </w:tabs>
        <w:wordWrap w:val="0"/>
        <w:spacing w:before="79" w:line="343" w:lineRule="auto"/>
        <w:ind w:left="227" w:right="403" w:firstLine="480"/>
        <w:rPr>
          <w:sz w:val="24"/>
        </w:rPr>
      </w:pPr>
      <w:r>
        <w:rPr>
          <w:sz w:val="24"/>
        </w:rPr>
        <w:t>合格的供应商必须是有能力按照本磋商文件规定的要求提供货物和服务，且具有独立承担民事等法律责任的法人或其它经济组织。</w:t>
      </w:r>
    </w:p>
    <w:p>
      <w:pPr>
        <w:pStyle w:val="14"/>
        <w:numPr>
          <w:ilvl w:val="1"/>
          <w:numId w:val="2"/>
        </w:numPr>
        <w:tabs>
          <w:tab w:val="left" w:pos="1070"/>
        </w:tabs>
        <w:wordWrap w:val="0"/>
        <w:spacing w:before="0" w:line="345" w:lineRule="auto"/>
        <w:ind w:left="227" w:right="403" w:firstLine="480"/>
        <w:rPr>
          <w:sz w:val="24"/>
        </w:rPr>
      </w:pPr>
      <w:r>
        <w:rPr>
          <w:sz w:val="24"/>
        </w:rPr>
        <w:t>合格的供应商必须符合磋商文件第一部分《竞争性磋商邀请函》第二条及须知前附表相关规定，且具备独立完成本项目的能力，成交后不允许分包、转包。</w:t>
      </w:r>
    </w:p>
    <w:p>
      <w:pPr>
        <w:pStyle w:val="14"/>
        <w:numPr>
          <w:ilvl w:val="1"/>
          <w:numId w:val="2"/>
        </w:numPr>
        <w:tabs>
          <w:tab w:val="left" w:pos="1070"/>
        </w:tabs>
        <w:wordWrap w:val="0"/>
        <w:spacing w:before="0" w:line="343" w:lineRule="auto"/>
        <w:ind w:left="227" w:right="402" w:firstLine="480"/>
        <w:rPr>
          <w:sz w:val="24"/>
        </w:rPr>
      </w:pPr>
      <w:r>
        <w:rPr>
          <w:spacing w:val="-7"/>
          <w:sz w:val="24"/>
        </w:rPr>
        <w:t>合格的供应商应遵守中华人民共和国《政府采购法》</w:t>
      </w:r>
      <w:r>
        <w:rPr>
          <w:spacing w:val="-30"/>
          <w:sz w:val="24"/>
        </w:rPr>
        <w:t>、《政府采购法实施条例》、《招</w:t>
      </w:r>
      <w:r>
        <w:rPr>
          <w:spacing w:val="-17"/>
          <w:sz w:val="24"/>
        </w:rPr>
        <w:t>标投标法》、《合同法》和《反不正当竞争法》等有关法律、法规。</w:t>
      </w:r>
    </w:p>
    <w:p>
      <w:pPr>
        <w:wordWrap w:val="0"/>
        <w:spacing w:line="364" w:lineRule="exact"/>
        <w:ind w:left="710"/>
        <w:rPr>
          <w:rFonts w:ascii="Microsoft YaHei UI" w:eastAsia="Microsoft YaHei UI"/>
          <w:b/>
          <w:sz w:val="24"/>
        </w:rPr>
      </w:pPr>
      <w:r>
        <w:rPr>
          <w:rFonts w:hint="eastAsia" w:ascii="Microsoft YaHei UI" w:eastAsia="Microsoft YaHei UI"/>
          <w:b/>
          <w:sz w:val="24"/>
        </w:rPr>
        <w:t>（三）适用法律</w:t>
      </w:r>
    </w:p>
    <w:p>
      <w:pPr>
        <w:pStyle w:val="2"/>
        <w:wordWrap w:val="0"/>
        <w:spacing w:before="71"/>
        <w:ind w:left="708"/>
      </w:pPr>
      <w:r>
        <w:t>本次磋商及由本次磋商产生的合同受中华人民共和国的相关法律、法规制约和保护。</w:t>
      </w:r>
    </w:p>
    <w:p>
      <w:pPr>
        <w:wordWrap w:val="0"/>
        <w:spacing w:before="67"/>
        <w:ind w:left="710"/>
        <w:rPr>
          <w:rFonts w:ascii="Microsoft YaHei UI" w:eastAsia="Microsoft YaHei UI"/>
          <w:b/>
          <w:sz w:val="24"/>
        </w:rPr>
      </w:pPr>
      <w:r>
        <w:rPr>
          <w:rFonts w:hint="eastAsia" w:ascii="Microsoft YaHei UI" w:eastAsia="Microsoft YaHei UI"/>
          <w:b/>
          <w:sz w:val="24"/>
        </w:rPr>
        <w:t>（四）竞争性磋商有关费用</w:t>
      </w:r>
    </w:p>
    <w:p>
      <w:pPr>
        <w:pStyle w:val="2"/>
        <w:wordWrap w:val="0"/>
        <w:spacing w:before="80"/>
        <w:ind w:left="708"/>
      </w:pPr>
      <w:r>
        <w:t>不管磋商结果如何，供应商均应自行承担参加磋商活动的所有费用。</w:t>
      </w:r>
    </w:p>
    <w:p>
      <w:pPr>
        <w:wordWrap w:val="0"/>
        <w:spacing w:before="67"/>
        <w:ind w:left="710"/>
        <w:rPr>
          <w:rFonts w:ascii="Microsoft YaHei UI" w:eastAsia="Microsoft YaHei UI"/>
          <w:b/>
          <w:sz w:val="24"/>
        </w:rPr>
      </w:pPr>
      <w:r>
        <w:rPr>
          <w:rFonts w:hint="eastAsia" w:ascii="Microsoft YaHei UI" w:eastAsia="Microsoft YaHei UI"/>
          <w:b/>
          <w:sz w:val="24"/>
        </w:rPr>
        <w:t>（五）磋商文件的约束力</w:t>
      </w:r>
    </w:p>
    <w:p>
      <w:pPr>
        <w:pStyle w:val="2"/>
        <w:wordWrap w:val="0"/>
        <w:spacing w:before="77"/>
        <w:ind w:left="708"/>
      </w:pPr>
      <w:r>
        <w:rPr>
          <w:spacing w:val="-4"/>
        </w:rPr>
        <w:t>供应商一旦申请参加本项目磋商活动，即被认为接受了本磋商文件的所有条件和规定，</w:t>
      </w:r>
    </w:p>
    <w:p>
      <w:pPr>
        <w:wordWrap w:val="0"/>
        <w:sectPr>
          <w:pgSz w:w="11910" w:h="16840"/>
          <w:pgMar w:top="1340" w:right="840" w:bottom="960" w:left="1020" w:header="877" w:footer="770" w:gutter="0"/>
          <w:cols w:space="720" w:num="1"/>
        </w:sectPr>
      </w:pPr>
    </w:p>
    <w:p>
      <w:pPr>
        <w:pStyle w:val="2"/>
        <w:wordWrap w:val="0"/>
        <w:spacing w:before="113"/>
        <w:ind w:left="227"/>
      </w:pPr>
      <w:r>
        <w:t>并且视为自响应之日起已经知道或应当知道自身权益是否受到了损害。</w:t>
      </w:r>
    </w:p>
    <w:p>
      <w:pPr>
        <w:pStyle w:val="2"/>
        <w:wordWrap w:val="0"/>
        <w:rPr>
          <w:sz w:val="20"/>
        </w:rPr>
      </w:pPr>
    </w:p>
    <w:p>
      <w:pPr>
        <w:wordWrap w:val="0"/>
        <w:rPr>
          <w:sz w:val="20"/>
        </w:rPr>
        <w:sectPr>
          <w:pgSz w:w="11910" w:h="16840"/>
          <w:pgMar w:top="1340" w:right="840" w:bottom="960" w:left="1020" w:header="877" w:footer="770" w:gutter="0"/>
          <w:cols w:space="720" w:num="1"/>
        </w:sectPr>
      </w:pPr>
    </w:p>
    <w:p>
      <w:pPr>
        <w:pStyle w:val="2"/>
        <w:wordWrap w:val="0"/>
      </w:pPr>
    </w:p>
    <w:p>
      <w:pPr>
        <w:pStyle w:val="2"/>
        <w:wordWrap w:val="0"/>
        <w:spacing w:before="12"/>
        <w:rPr>
          <w:sz w:val="29"/>
        </w:rPr>
      </w:pPr>
    </w:p>
    <w:p>
      <w:pPr>
        <w:wordWrap w:val="0"/>
        <w:ind w:left="710"/>
        <w:rPr>
          <w:rFonts w:ascii="Microsoft YaHei UI" w:eastAsia="Microsoft YaHei UI"/>
          <w:b/>
          <w:sz w:val="24"/>
        </w:rPr>
      </w:pPr>
      <w:r>
        <w:rPr>
          <w:rFonts w:hint="eastAsia" w:ascii="Microsoft YaHei UI" w:eastAsia="Microsoft YaHei UI"/>
          <w:b/>
          <w:sz w:val="24"/>
        </w:rPr>
        <w:t>（六）磋商文件构成</w:t>
      </w:r>
    </w:p>
    <w:p>
      <w:pPr>
        <w:wordWrap w:val="0"/>
        <w:spacing w:before="97"/>
        <w:ind w:left="388"/>
        <w:rPr>
          <w:rFonts w:ascii="Microsoft YaHei UI" w:eastAsia="Microsoft YaHei UI"/>
          <w:b/>
          <w:sz w:val="36"/>
        </w:rPr>
      </w:pPr>
      <w:bookmarkStart w:id="4" w:name="_TOC_250009"/>
      <w:r>
        <w:br w:type="column"/>
      </w:r>
      <w:bookmarkEnd w:id="4"/>
      <w:r>
        <w:rPr>
          <w:rFonts w:hint="eastAsia" w:ascii="Microsoft YaHei UI" w:eastAsia="Microsoft YaHei UI"/>
          <w:b/>
          <w:sz w:val="36"/>
        </w:rPr>
        <w:t>二、竞争性磋商文件</w:t>
      </w:r>
    </w:p>
    <w:p>
      <w:pPr>
        <w:wordWrap w:val="0"/>
        <w:rPr>
          <w:rFonts w:ascii="Microsoft YaHei UI" w:eastAsia="Microsoft YaHei UI"/>
          <w:sz w:val="36"/>
        </w:rPr>
        <w:sectPr>
          <w:type w:val="continuous"/>
          <w:pgSz w:w="11910" w:h="16840"/>
          <w:pgMar w:top="1340" w:right="840" w:bottom="960" w:left="1020" w:header="720" w:footer="720" w:gutter="0"/>
          <w:cols w:equalWidth="0" w:num="2">
            <w:col w:w="2880" w:space="40"/>
            <w:col w:w="7130"/>
          </w:cols>
        </w:sectPr>
      </w:pPr>
    </w:p>
    <w:p>
      <w:pPr>
        <w:pStyle w:val="2"/>
        <w:wordWrap w:val="0"/>
        <w:spacing w:before="77" w:line="343" w:lineRule="auto"/>
        <w:ind w:left="708" w:right="5975"/>
      </w:pPr>
      <w:r>
        <w:rPr>
          <w:spacing w:val="-1"/>
        </w:rPr>
        <w:t>第一部分：竞争性磋商邀请函；</w:t>
      </w:r>
      <w:r>
        <w:rPr>
          <w:spacing w:val="-117"/>
        </w:rPr>
        <w:t xml:space="preserve"> </w:t>
      </w:r>
      <w:r>
        <w:t>第二部分：供应商须知；</w:t>
      </w:r>
    </w:p>
    <w:p>
      <w:pPr>
        <w:pStyle w:val="2"/>
        <w:wordWrap w:val="0"/>
        <w:spacing w:before="2" w:line="343" w:lineRule="auto"/>
        <w:ind w:left="708" w:right="6935"/>
      </w:pPr>
      <w:r>
        <w:rPr>
          <w:spacing w:val="-1"/>
        </w:rPr>
        <w:t>第三部分：评审办法；</w:t>
      </w:r>
      <w:r>
        <w:rPr>
          <w:spacing w:val="-117"/>
        </w:rPr>
        <w:t xml:space="preserve"> </w:t>
      </w:r>
      <w:r>
        <w:rPr>
          <w:spacing w:val="-1"/>
        </w:rPr>
        <w:t>第四部分：采购需求；</w:t>
      </w:r>
    </w:p>
    <w:p>
      <w:pPr>
        <w:pStyle w:val="2"/>
        <w:wordWrap w:val="0"/>
        <w:spacing w:line="345" w:lineRule="auto"/>
        <w:ind w:left="708" w:right="5375"/>
      </w:pPr>
      <w:r>
        <w:t>第五部分：合同格式及条款（草案</w:t>
      </w:r>
      <w:r>
        <w:rPr>
          <w:spacing w:val="-129"/>
        </w:rPr>
        <w:t>）</w:t>
      </w:r>
      <w:r>
        <w:rPr>
          <w:spacing w:val="-9"/>
        </w:rPr>
        <w:t>；</w:t>
      </w:r>
      <w:r>
        <w:t>第六部分：响应文件格式。</w:t>
      </w:r>
    </w:p>
    <w:p>
      <w:pPr>
        <w:wordWrap w:val="0"/>
        <w:spacing w:line="357" w:lineRule="exact"/>
        <w:ind w:left="710"/>
        <w:rPr>
          <w:rFonts w:ascii="Microsoft YaHei UI" w:eastAsia="Microsoft YaHei UI"/>
          <w:b/>
          <w:sz w:val="24"/>
        </w:rPr>
      </w:pPr>
      <w:r>
        <w:rPr>
          <w:rFonts w:hint="eastAsia" w:ascii="Microsoft YaHei UI" w:eastAsia="Microsoft YaHei UI"/>
          <w:b/>
          <w:sz w:val="24"/>
        </w:rPr>
        <w:t>（七）磋商文件的澄清</w:t>
      </w:r>
    </w:p>
    <w:p>
      <w:pPr>
        <w:pStyle w:val="2"/>
        <w:wordWrap w:val="0"/>
        <w:spacing w:before="76" w:line="343" w:lineRule="auto"/>
        <w:ind w:left="227" w:right="397" w:firstLine="480"/>
        <w:jc w:val="both"/>
      </w:pPr>
      <w:r>
        <w:t>任何要求对磋商文件澄清的供应商，均应在磋商文件提供截止时间之前，按照磋商邀请函中的邮箱或通讯地址，以书面形式（如邮件、信函等）通知采购人，采购人对规定时间内收到的澄清以书面形式予以答复，答复不包括问题的来源。</w:t>
      </w:r>
    </w:p>
    <w:p>
      <w:pPr>
        <w:wordWrap w:val="0"/>
        <w:spacing w:line="363" w:lineRule="exact"/>
        <w:ind w:left="710"/>
        <w:rPr>
          <w:rFonts w:ascii="Microsoft YaHei UI" w:eastAsia="Microsoft YaHei UI"/>
          <w:b/>
          <w:sz w:val="24"/>
        </w:rPr>
      </w:pPr>
      <w:r>
        <w:rPr>
          <w:rFonts w:hint="eastAsia" w:ascii="Microsoft YaHei UI" w:eastAsia="Microsoft YaHei UI"/>
          <w:b/>
          <w:sz w:val="24"/>
        </w:rPr>
        <w:t>（八）磋商文件的修改</w:t>
      </w:r>
    </w:p>
    <w:p>
      <w:pPr>
        <w:pStyle w:val="14"/>
        <w:numPr>
          <w:ilvl w:val="0"/>
          <w:numId w:val="3"/>
        </w:numPr>
        <w:tabs>
          <w:tab w:val="left" w:pos="1070"/>
        </w:tabs>
        <w:wordWrap w:val="0"/>
        <w:spacing w:before="80" w:line="343" w:lineRule="auto"/>
        <w:ind w:left="227" w:right="402" w:firstLine="480"/>
        <w:jc w:val="both"/>
        <w:rPr>
          <w:sz w:val="24"/>
        </w:rPr>
      </w:pPr>
      <w:r>
        <w:rPr>
          <w:sz w:val="24"/>
        </w:rPr>
        <w:t>在递交首次响应文件截止之日前，采购人可以更正公告或补充文件的形式对磋商文件进行澄清或者修改。澄清或修改的内容可能影响响应文件编制的，应当在递交首次响</w:t>
      </w:r>
      <w:r>
        <w:rPr>
          <w:spacing w:val="-9"/>
          <w:sz w:val="24"/>
        </w:rPr>
        <w:t xml:space="preserve">应文件截止之日 </w:t>
      </w:r>
      <w:r>
        <w:rPr>
          <w:spacing w:val="-1"/>
          <w:sz w:val="24"/>
        </w:rPr>
        <w:t>5</w:t>
      </w:r>
      <w:r>
        <w:rPr>
          <w:spacing w:val="-15"/>
          <w:sz w:val="24"/>
        </w:rPr>
        <w:t xml:space="preserve"> 日前发出，不足 </w:t>
      </w:r>
      <w:r>
        <w:rPr>
          <w:sz w:val="24"/>
        </w:rPr>
        <w:t>5</w:t>
      </w:r>
      <w:r>
        <w:rPr>
          <w:spacing w:val="-8"/>
          <w:sz w:val="24"/>
        </w:rPr>
        <w:t xml:space="preserve"> 日的，应当顺延递交首次响应文件截止时间。</w:t>
      </w:r>
    </w:p>
    <w:p>
      <w:pPr>
        <w:pStyle w:val="14"/>
        <w:numPr>
          <w:ilvl w:val="0"/>
          <w:numId w:val="3"/>
        </w:numPr>
        <w:tabs>
          <w:tab w:val="left" w:pos="1070"/>
        </w:tabs>
        <w:wordWrap w:val="0"/>
        <w:spacing w:before="49" w:line="388" w:lineRule="auto"/>
        <w:ind w:left="227" w:right="402" w:firstLine="480"/>
        <w:jc w:val="both"/>
        <w:rPr>
          <w:sz w:val="24"/>
        </w:rPr>
      </w:pPr>
      <w:r>
        <w:rPr>
          <w:spacing w:val="-2"/>
          <w:sz w:val="24"/>
        </w:rPr>
        <w:t xml:space="preserve">磋商文件的修改或补充将以书面形式（如邮件、信函等）通知所有已获取磋商文件的供应商，并对供应商具有约束力。供应商收到修改或补充文件后，应于 </w:t>
      </w:r>
      <w:r>
        <w:rPr>
          <w:sz w:val="24"/>
        </w:rPr>
        <w:t>1</w:t>
      </w:r>
      <w:r>
        <w:rPr>
          <w:spacing w:val="-6"/>
          <w:sz w:val="24"/>
        </w:rPr>
        <w:t xml:space="preserve"> 个工作日内予</w:t>
      </w:r>
      <w:r>
        <w:rPr>
          <w:sz w:val="24"/>
        </w:rPr>
        <w:t>以回复，逾期未回复的，视同已收。</w:t>
      </w:r>
    </w:p>
    <w:p>
      <w:pPr>
        <w:pStyle w:val="14"/>
        <w:numPr>
          <w:ilvl w:val="0"/>
          <w:numId w:val="3"/>
        </w:numPr>
        <w:tabs>
          <w:tab w:val="left" w:pos="1070"/>
        </w:tabs>
        <w:wordWrap w:val="0"/>
        <w:spacing w:before="6" w:line="388" w:lineRule="auto"/>
        <w:ind w:left="227" w:right="282" w:firstLine="480"/>
        <w:rPr>
          <w:sz w:val="24"/>
        </w:rPr>
      </w:pPr>
      <w:r>
        <w:rPr>
          <w:sz w:val="24"/>
        </w:rPr>
        <w:t>为使供应商有充分的时间对磋商文件的补充、修改部分进行分析、研究，采购人有</w:t>
      </w:r>
      <w:r>
        <w:rPr>
          <w:spacing w:val="-4"/>
          <w:sz w:val="24"/>
        </w:rPr>
        <w:t>权推迟响应文件接收截止日期和磋商日期。并将此变更通知所有已获取磋商文件的供应商。</w:t>
      </w:r>
    </w:p>
    <w:p>
      <w:pPr>
        <w:pStyle w:val="14"/>
        <w:numPr>
          <w:ilvl w:val="0"/>
          <w:numId w:val="3"/>
        </w:numPr>
        <w:tabs>
          <w:tab w:val="left" w:pos="1070"/>
        </w:tabs>
        <w:wordWrap w:val="0"/>
        <w:spacing w:before="0" w:line="262" w:lineRule="exact"/>
        <w:ind w:left="1069" w:hanging="362"/>
        <w:rPr>
          <w:sz w:val="24"/>
        </w:rPr>
      </w:pPr>
      <w:r>
        <w:rPr>
          <w:spacing w:val="-2"/>
          <w:sz w:val="24"/>
        </w:rPr>
        <w:t>采购人发出的所有补充、修改和变更文件均作为磋商文件的组成部分，与磋商文件</w:t>
      </w:r>
    </w:p>
    <w:p>
      <w:pPr>
        <w:pStyle w:val="2"/>
        <w:wordWrap w:val="0"/>
        <w:spacing w:before="134"/>
        <w:ind w:left="227"/>
      </w:pPr>
      <w:r>
        <w:t>具有同等法律效力。</w:t>
      </w:r>
    </w:p>
    <w:p>
      <w:pPr>
        <w:pStyle w:val="2"/>
        <w:wordWrap w:val="0"/>
        <w:spacing w:before="7"/>
        <w:rPr>
          <w:sz w:val="27"/>
        </w:rPr>
      </w:pPr>
    </w:p>
    <w:p>
      <w:pPr>
        <w:wordWrap w:val="0"/>
        <w:spacing w:line="617" w:lineRule="exact"/>
        <w:ind w:right="175"/>
        <w:jc w:val="center"/>
        <w:rPr>
          <w:rFonts w:ascii="Microsoft YaHei UI" w:eastAsia="Microsoft YaHei UI"/>
          <w:b/>
          <w:sz w:val="36"/>
        </w:rPr>
      </w:pPr>
      <w:bookmarkStart w:id="5" w:name="_TOC_250008"/>
      <w:bookmarkEnd w:id="5"/>
      <w:r>
        <w:rPr>
          <w:rFonts w:hint="eastAsia" w:ascii="Microsoft YaHei UI" w:eastAsia="Microsoft YaHei UI"/>
          <w:b/>
          <w:sz w:val="36"/>
        </w:rPr>
        <w:t>三、响应文件的编制</w:t>
      </w:r>
    </w:p>
    <w:p>
      <w:pPr>
        <w:wordWrap w:val="0"/>
        <w:spacing w:line="404" w:lineRule="exact"/>
        <w:ind w:left="710"/>
        <w:rPr>
          <w:rFonts w:ascii="Microsoft YaHei UI" w:eastAsia="Microsoft YaHei UI"/>
          <w:b/>
          <w:sz w:val="24"/>
        </w:rPr>
      </w:pPr>
      <w:r>
        <w:rPr>
          <w:rFonts w:hint="eastAsia" w:ascii="Microsoft YaHei UI" w:eastAsia="Microsoft YaHei UI"/>
          <w:b/>
          <w:sz w:val="24"/>
        </w:rPr>
        <w:t>（九）响应文件的编制要求</w:t>
      </w:r>
    </w:p>
    <w:p>
      <w:pPr>
        <w:pStyle w:val="14"/>
        <w:numPr>
          <w:ilvl w:val="0"/>
          <w:numId w:val="4"/>
        </w:numPr>
        <w:tabs>
          <w:tab w:val="left" w:pos="1070"/>
        </w:tabs>
        <w:wordWrap w:val="0"/>
        <w:spacing w:before="78" w:line="343" w:lineRule="auto"/>
        <w:ind w:left="227" w:right="400" w:firstLine="480"/>
        <w:jc w:val="both"/>
        <w:rPr>
          <w:sz w:val="24"/>
        </w:rPr>
      </w:pPr>
      <w:r>
        <w:rPr>
          <w:sz w:val="24"/>
        </w:rPr>
        <w:t>供应商应仔细阅读磋商文件的所有内容，按磋商文件要求及磋商文件第六部分“</w:t>
      </w:r>
      <w:r>
        <w:rPr>
          <w:spacing w:val="1"/>
          <w:sz w:val="24"/>
        </w:rPr>
        <w:t xml:space="preserve"> </w:t>
      </w:r>
      <w:r>
        <w:rPr>
          <w:sz w:val="24"/>
        </w:rPr>
        <w:t>响应文件格式”编制响应文件。如有必要，可以增加附页，作为响应文件的组成部分，并保证所提供的全部资料的真实性、完整性及有效性，以使响应文件对磋商文件作出实质性响</w:t>
      </w:r>
    </w:p>
    <w:p>
      <w:pPr>
        <w:wordWrap w:val="0"/>
        <w:spacing w:line="343" w:lineRule="auto"/>
        <w:jc w:val="both"/>
        <w:rPr>
          <w:sz w:val="24"/>
        </w:rPr>
        <w:sectPr>
          <w:type w:val="continuous"/>
          <w:pgSz w:w="11910" w:h="16840"/>
          <w:pgMar w:top="1340" w:right="840" w:bottom="960" w:left="1020" w:header="720" w:footer="720" w:gutter="0"/>
          <w:cols w:space="720" w:num="1"/>
        </w:sectPr>
      </w:pPr>
    </w:p>
    <w:p>
      <w:pPr>
        <w:pStyle w:val="2"/>
        <w:wordWrap w:val="0"/>
        <w:spacing w:before="113"/>
        <w:ind w:left="227"/>
      </w:pPr>
      <w:r>
        <w:t>应。否则，可能被拒绝。</w:t>
      </w:r>
    </w:p>
    <w:p>
      <w:pPr>
        <w:pStyle w:val="14"/>
        <w:numPr>
          <w:ilvl w:val="0"/>
          <w:numId w:val="4"/>
        </w:numPr>
        <w:tabs>
          <w:tab w:val="left" w:pos="1070"/>
        </w:tabs>
        <w:wordWrap w:val="0"/>
        <w:spacing w:line="343" w:lineRule="auto"/>
        <w:ind w:left="227" w:right="405" w:firstLine="480"/>
        <w:rPr>
          <w:sz w:val="24"/>
        </w:rPr>
      </w:pPr>
      <w:r>
        <w:rPr>
          <w:spacing w:val="-2"/>
          <w:sz w:val="24"/>
        </w:rPr>
        <w:t>响应文件应当对磋商文件有关技术标准和要求、服务要求、质量要求、交货期</w:t>
      </w:r>
      <w:r>
        <w:rPr>
          <w:spacing w:val="-1"/>
          <w:sz w:val="24"/>
        </w:rPr>
        <w:t>（工</w:t>
      </w:r>
      <w:r>
        <w:rPr>
          <w:sz w:val="24"/>
        </w:rPr>
        <w:t>期</w:t>
      </w:r>
      <w:r>
        <w:rPr>
          <w:spacing w:val="-120"/>
          <w:sz w:val="24"/>
        </w:rPr>
        <w:t>）</w:t>
      </w:r>
      <w:r>
        <w:rPr>
          <w:sz w:val="24"/>
        </w:rPr>
        <w:t>、响应有效期、采购范围等实质性内容作出响应。</w:t>
      </w:r>
    </w:p>
    <w:p>
      <w:pPr>
        <w:wordWrap w:val="0"/>
        <w:spacing w:line="363" w:lineRule="exact"/>
        <w:ind w:left="710"/>
        <w:rPr>
          <w:rFonts w:ascii="Microsoft YaHei UI" w:eastAsia="Microsoft YaHei UI"/>
          <w:b/>
          <w:sz w:val="24"/>
        </w:rPr>
      </w:pPr>
      <w:r>
        <w:rPr>
          <w:rFonts w:hint="eastAsia" w:ascii="Microsoft YaHei UI" w:eastAsia="Microsoft YaHei UI"/>
          <w:b/>
          <w:sz w:val="24"/>
        </w:rPr>
        <w:t>（十）响应文件构成</w:t>
      </w:r>
    </w:p>
    <w:p>
      <w:pPr>
        <w:pStyle w:val="14"/>
        <w:numPr>
          <w:ilvl w:val="0"/>
          <w:numId w:val="5"/>
        </w:numPr>
        <w:tabs>
          <w:tab w:val="left" w:pos="1070"/>
        </w:tabs>
        <w:wordWrap w:val="0"/>
        <w:spacing w:before="77"/>
        <w:ind w:hanging="362"/>
        <w:rPr>
          <w:sz w:val="24"/>
        </w:rPr>
      </w:pPr>
      <w:r>
        <w:rPr>
          <w:sz w:val="24"/>
        </w:rPr>
        <w:t>资格、资质证明文件</w:t>
      </w:r>
    </w:p>
    <w:p>
      <w:pPr>
        <w:pStyle w:val="14"/>
        <w:numPr>
          <w:ilvl w:val="0"/>
          <w:numId w:val="6"/>
        </w:numPr>
        <w:tabs>
          <w:tab w:val="left" w:pos="1310"/>
        </w:tabs>
        <w:wordWrap w:val="0"/>
        <w:spacing w:before="131"/>
        <w:ind w:hanging="602"/>
        <w:rPr>
          <w:sz w:val="24"/>
        </w:rPr>
      </w:pPr>
      <w:r>
        <w:rPr>
          <w:sz w:val="24"/>
        </w:rPr>
        <w:t>法定代表人或其授权代理人签署的响应函；</w:t>
      </w:r>
    </w:p>
    <w:p>
      <w:pPr>
        <w:pStyle w:val="14"/>
        <w:numPr>
          <w:ilvl w:val="0"/>
          <w:numId w:val="6"/>
        </w:numPr>
        <w:tabs>
          <w:tab w:val="left" w:pos="1310"/>
        </w:tabs>
        <w:wordWrap w:val="0"/>
        <w:spacing w:before="134"/>
        <w:ind w:hanging="602"/>
        <w:rPr>
          <w:sz w:val="24"/>
        </w:rPr>
      </w:pPr>
      <w:r>
        <w:rPr>
          <w:sz w:val="24"/>
        </w:rPr>
        <w:t>法人代表证明或法定代表人授权委托书原件及法人代表和被授权人身份证复印件；</w:t>
      </w:r>
    </w:p>
    <w:p>
      <w:pPr>
        <w:pStyle w:val="14"/>
        <w:numPr>
          <w:ilvl w:val="0"/>
          <w:numId w:val="6"/>
        </w:numPr>
        <w:tabs>
          <w:tab w:val="left" w:pos="1310"/>
        </w:tabs>
        <w:wordWrap w:val="0"/>
        <w:spacing w:before="180" w:line="391" w:lineRule="auto"/>
        <w:ind w:left="227" w:right="405" w:firstLine="480"/>
        <w:rPr>
          <w:sz w:val="24"/>
        </w:rPr>
      </w:pPr>
      <w:r>
        <w:rPr>
          <w:spacing w:val="-2"/>
          <w:sz w:val="24"/>
        </w:rPr>
        <w:t>法人或者其他组织的营业执照副本、税务登记证等证明文件（或“三证合一”的</w:t>
      </w:r>
      <w:r>
        <w:rPr>
          <w:sz w:val="24"/>
        </w:rPr>
        <w:t>“营业执照”或事业单位法人证书）；</w:t>
      </w:r>
    </w:p>
    <w:p>
      <w:pPr>
        <w:pStyle w:val="14"/>
        <w:numPr>
          <w:ilvl w:val="0"/>
          <w:numId w:val="6"/>
        </w:numPr>
        <w:tabs>
          <w:tab w:val="left" w:pos="1315"/>
        </w:tabs>
        <w:wordWrap w:val="0"/>
        <w:spacing w:before="0" w:line="388" w:lineRule="auto"/>
        <w:ind w:left="227" w:right="405" w:firstLine="480"/>
        <w:rPr>
          <w:sz w:val="24"/>
        </w:rPr>
      </w:pPr>
      <w:r>
        <w:rPr>
          <w:spacing w:val="1"/>
          <w:sz w:val="24"/>
        </w:rPr>
        <w:t xml:space="preserve">参加采购活动前 </w:t>
      </w:r>
      <w:r>
        <w:rPr>
          <w:sz w:val="24"/>
        </w:rPr>
        <w:t>3</w:t>
      </w:r>
      <w:r>
        <w:rPr>
          <w:spacing w:val="4"/>
          <w:sz w:val="24"/>
        </w:rPr>
        <w:t xml:space="preserve"> 年内</w:t>
      </w:r>
      <w:r>
        <w:rPr>
          <w:sz w:val="24"/>
        </w:rPr>
        <w:t>（自竞争性磋商文件发出之日起计算）在经营活动中没有重大违法记录的书面声明；</w:t>
      </w:r>
    </w:p>
    <w:p>
      <w:pPr>
        <w:pStyle w:val="14"/>
        <w:numPr>
          <w:ilvl w:val="0"/>
          <w:numId w:val="6"/>
        </w:numPr>
        <w:tabs>
          <w:tab w:val="left" w:pos="1310"/>
        </w:tabs>
        <w:wordWrap w:val="0"/>
        <w:spacing w:before="0" w:line="262" w:lineRule="exact"/>
        <w:ind w:hanging="602"/>
        <w:rPr>
          <w:sz w:val="24"/>
        </w:rPr>
      </w:pPr>
      <w:r>
        <w:rPr>
          <w:spacing w:val="-1"/>
          <w:sz w:val="24"/>
        </w:rPr>
        <w:t>所投产品若为医疗器械，须提供涵盖此次响应产品范围的医疗器械经营许可证或</w:t>
      </w:r>
    </w:p>
    <w:p>
      <w:pPr>
        <w:pStyle w:val="2"/>
        <w:wordWrap w:val="0"/>
        <w:spacing w:before="133"/>
        <w:ind w:left="227"/>
      </w:pPr>
      <w:r>
        <w:t>经营备案凭证（生产厂商参与磋商的无需提供、第一类医疗器械无需提供</w:t>
      </w:r>
      <w:r>
        <w:rPr>
          <w:spacing w:val="-120"/>
        </w:rPr>
        <w:t>）</w:t>
      </w:r>
      <w:r>
        <w:t>；</w:t>
      </w:r>
    </w:p>
    <w:p>
      <w:pPr>
        <w:pStyle w:val="14"/>
        <w:numPr>
          <w:ilvl w:val="0"/>
          <w:numId w:val="6"/>
        </w:numPr>
        <w:tabs>
          <w:tab w:val="left" w:pos="1310"/>
        </w:tabs>
        <w:wordWrap w:val="0"/>
        <w:spacing w:line="343" w:lineRule="auto"/>
        <w:ind w:left="227" w:right="402" w:firstLine="480"/>
        <w:rPr>
          <w:sz w:val="24"/>
        </w:rPr>
      </w:pPr>
      <w:r>
        <w:rPr>
          <w:sz w:val="24"/>
        </w:rPr>
        <w:t>所投产品若为医疗器械，须提供涵盖此次响应产品范围的医疗器械生产许可证</w:t>
      </w:r>
      <w:r>
        <w:rPr>
          <w:spacing w:val="-4"/>
          <w:sz w:val="24"/>
        </w:rPr>
        <w:t>或生产备案凭证</w:t>
      </w:r>
      <w:r>
        <w:rPr>
          <w:sz w:val="24"/>
        </w:rPr>
        <w:t>（进口产品无需提供</w:t>
      </w:r>
      <w:r>
        <w:rPr>
          <w:spacing w:val="-120"/>
          <w:sz w:val="24"/>
        </w:rPr>
        <w:t>）</w:t>
      </w:r>
      <w:r>
        <w:rPr>
          <w:sz w:val="24"/>
        </w:rPr>
        <w:t>；</w:t>
      </w:r>
    </w:p>
    <w:p>
      <w:pPr>
        <w:pStyle w:val="14"/>
        <w:numPr>
          <w:ilvl w:val="0"/>
          <w:numId w:val="6"/>
        </w:numPr>
        <w:tabs>
          <w:tab w:val="left" w:pos="1310"/>
        </w:tabs>
        <w:wordWrap w:val="0"/>
        <w:spacing w:before="1" w:line="343" w:lineRule="auto"/>
        <w:ind w:left="227" w:right="402" w:firstLine="480"/>
        <w:rPr>
          <w:sz w:val="24"/>
        </w:rPr>
      </w:pPr>
      <w:r>
        <w:rPr>
          <w:sz w:val="24"/>
        </w:rPr>
        <w:t>所投产品若为医疗器械，须提供涵盖此次响应产品范围的医疗器械注册证或医疗器械备案凭证；</w:t>
      </w:r>
    </w:p>
    <w:p>
      <w:pPr>
        <w:pStyle w:val="14"/>
        <w:numPr>
          <w:ilvl w:val="0"/>
          <w:numId w:val="6"/>
        </w:numPr>
        <w:tabs>
          <w:tab w:val="left" w:pos="1310"/>
        </w:tabs>
        <w:wordWrap w:val="0"/>
        <w:spacing w:before="0" w:line="345" w:lineRule="auto"/>
        <w:ind w:left="227" w:right="403" w:firstLine="480"/>
        <w:rPr>
          <w:sz w:val="24"/>
        </w:rPr>
      </w:pPr>
      <w:r>
        <w:rPr>
          <w:sz w:val="24"/>
        </w:rPr>
        <w:t>所投产品若为进口产品，须提供生产商向响应供应商出具的涵盖此次响应产品范围的经销代理授权书。</w:t>
      </w:r>
    </w:p>
    <w:p>
      <w:pPr>
        <w:pStyle w:val="14"/>
        <w:numPr>
          <w:ilvl w:val="0"/>
          <w:numId w:val="5"/>
        </w:numPr>
        <w:tabs>
          <w:tab w:val="left" w:pos="1070"/>
        </w:tabs>
        <w:wordWrap w:val="0"/>
        <w:spacing w:before="0" w:line="303" w:lineRule="exact"/>
        <w:ind w:hanging="362"/>
        <w:rPr>
          <w:sz w:val="24"/>
        </w:rPr>
      </w:pPr>
      <w:r>
        <w:rPr>
          <w:sz w:val="24"/>
        </w:rPr>
        <w:t>报价部分：</w:t>
      </w:r>
    </w:p>
    <w:p>
      <w:pPr>
        <w:pStyle w:val="14"/>
        <w:numPr>
          <w:ilvl w:val="0"/>
          <w:numId w:val="7"/>
        </w:numPr>
        <w:tabs>
          <w:tab w:val="left" w:pos="1310"/>
        </w:tabs>
        <w:wordWrap w:val="0"/>
        <w:spacing w:before="131"/>
        <w:ind w:hanging="602"/>
        <w:rPr>
          <w:sz w:val="24"/>
        </w:rPr>
      </w:pPr>
      <w:r>
        <w:rPr>
          <w:sz w:val="24"/>
        </w:rPr>
        <w:t>报价一览表；</w:t>
      </w:r>
    </w:p>
    <w:p>
      <w:pPr>
        <w:pStyle w:val="14"/>
        <w:numPr>
          <w:ilvl w:val="0"/>
          <w:numId w:val="7"/>
        </w:numPr>
        <w:tabs>
          <w:tab w:val="left" w:pos="1310"/>
        </w:tabs>
        <w:wordWrap w:val="0"/>
        <w:spacing w:before="134"/>
        <w:ind w:hanging="602"/>
        <w:rPr>
          <w:sz w:val="24"/>
        </w:rPr>
      </w:pPr>
      <w:r>
        <w:rPr>
          <w:sz w:val="24"/>
        </w:rPr>
        <w:t>如有分项需提供分项报价表；</w:t>
      </w:r>
    </w:p>
    <w:p>
      <w:pPr>
        <w:pStyle w:val="14"/>
        <w:numPr>
          <w:ilvl w:val="0"/>
          <w:numId w:val="7"/>
        </w:numPr>
        <w:tabs>
          <w:tab w:val="left" w:pos="1310"/>
        </w:tabs>
        <w:wordWrap w:val="0"/>
        <w:spacing w:line="343" w:lineRule="auto"/>
        <w:ind w:left="227" w:right="402" w:firstLine="480"/>
        <w:rPr>
          <w:sz w:val="24"/>
        </w:rPr>
      </w:pPr>
      <w:r>
        <w:rPr>
          <w:spacing w:val="-13"/>
          <w:sz w:val="24"/>
        </w:rPr>
        <w:t>必须使用配套耗材及试剂的，应报送耗材、试剂价格。如此次竞争性磋商不报送</w:t>
      </w:r>
      <w:r>
        <w:rPr>
          <w:sz w:val="24"/>
        </w:rPr>
        <w:t>，则视为整机配件，免费提供。</w:t>
      </w:r>
      <w:r>
        <w:rPr>
          <w:rFonts w:hint="eastAsia" w:eastAsiaTheme="minorEastAsia"/>
          <w:sz w:val="24"/>
        </w:rPr>
        <w:t>耗材、试剂报价不得超过正在执行的江苏省各地市最低中标价格；</w:t>
      </w:r>
    </w:p>
    <w:p>
      <w:pPr>
        <w:pStyle w:val="14"/>
        <w:numPr>
          <w:ilvl w:val="0"/>
          <w:numId w:val="7"/>
        </w:numPr>
        <w:tabs>
          <w:tab w:val="left" w:pos="1310"/>
        </w:tabs>
        <w:wordWrap w:val="0"/>
        <w:spacing w:before="2" w:line="343" w:lineRule="auto"/>
        <w:ind w:left="227" w:right="402" w:firstLine="480"/>
        <w:rPr>
          <w:sz w:val="24"/>
        </w:rPr>
      </w:pPr>
      <w:r>
        <w:rPr>
          <w:spacing w:val="-2"/>
          <w:sz w:val="24"/>
        </w:rPr>
        <w:t>提供免费维保期满后维修报价供参考，包括服务收费价格、主要部件维修、更换</w:t>
      </w:r>
      <w:r>
        <w:rPr>
          <w:sz w:val="24"/>
        </w:rPr>
        <w:t>价格（一并提供质保期结束后维保相关承诺</w:t>
      </w:r>
      <w:r>
        <w:rPr>
          <w:spacing w:val="-120"/>
          <w:sz w:val="24"/>
        </w:rPr>
        <w:t>）</w:t>
      </w:r>
      <w:r>
        <w:rPr>
          <w:sz w:val="24"/>
        </w:rPr>
        <w:t>。</w:t>
      </w:r>
    </w:p>
    <w:p>
      <w:pPr>
        <w:pStyle w:val="14"/>
        <w:numPr>
          <w:ilvl w:val="0"/>
          <w:numId w:val="5"/>
        </w:numPr>
        <w:tabs>
          <w:tab w:val="left" w:pos="1070"/>
        </w:tabs>
        <w:wordWrap w:val="0"/>
        <w:spacing w:before="0" w:line="306" w:lineRule="exact"/>
        <w:ind w:hanging="362"/>
        <w:rPr>
          <w:sz w:val="24"/>
        </w:rPr>
      </w:pPr>
      <w:r>
        <w:rPr>
          <w:sz w:val="24"/>
        </w:rPr>
        <w:t>技术部分：</w:t>
      </w:r>
    </w:p>
    <w:p>
      <w:pPr>
        <w:pStyle w:val="14"/>
        <w:numPr>
          <w:ilvl w:val="0"/>
          <w:numId w:val="8"/>
        </w:numPr>
        <w:tabs>
          <w:tab w:val="left" w:pos="1310"/>
        </w:tabs>
        <w:wordWrap w:val="0"/>
        <w:spacing w:before="134"/>
        <w:ind w:hanging="602"/>
        <w:rPr>
          <w:sz w:val="24"/>
        </w:rPr>
      </w:pPr>
      <w:r>
        <w:rPr>
          <w:sz w:val="24"/>
        </w:rPr>
        <w:t>技术条款响应表。</w:t>
      </w:r>
    </w:p>
    <w:p>
      <w:pPr>
        <w:pStyle w:val="14"/>
        <w:numPr>
          <w:ilvl w:val="0"/>
          <w:numId w:val="8"/>
        </w:numPr>
        <w:tabs>
          <w:tab w:val="left" w:pos="1310"/>
        </w:tabs>
        <w:wordWrap w:val="0"/>
        <w:ind w:hanging="602"/>
        <w:rPr>
          <w:sz w:val="24"/>
        </w:rPr>
      </w:pPr>
      <w:r>
        <w:rPr>
          <w:sz w:val="24"/>
        </w:rPr>
        <w:t>品牌影响力证明材料。</w:t>
      </w:r>
    </w:p>
    <w:p>
      <w:pPr>
        <w:pStyle w:val="14"/>
        <w:numPr>
          <w:ilvl w:val="0"/>
          <w:numId w:val="8"/>
        </w:numPr>
        <w:tabs>
          <w:tab w:val="left" w:pos="1310"/>
        </w:tabs>
        <w:wordWrap w:val="0"/>
        <w:spacing w:line="345" w:lineRule="auto"/>
        <w:ind w:left="227" w:right="403" w:firstLine="480"/>
        <w:rPr>
          <w:sz w:val="24"/>
        </w:rPr>
      </w:pPr>
      <w:r>
        <w:rPr>
          <w:spacing w:val="-2"/>
          <w:sz w:val="24"/>
        </w:rPr>
        <w:t>售后服务方案及培训方案（包括：售后服务管理体系、服务人员的技术水平及现</w:t>
      </w:r>
      <w:r>
        <w:rPr>
          <w:sz w:val="24"/>
        </w:rPr>
        <w:t>场服务措施等</w:t>
      </w:r>
      <w:r>
        <w:rPr>
          <w:spacing w:val="-120"/>
          <w:sz w:val="24"/>
        </w:rPr>
        <w:t>）</w:t>
      </w:r>
      <w:r>
        <w:rPr>
          <w:sz w:val="24"/>
        </w:rPr>
        <w:t>。</w:t>
      </w:r>
    </w:p>
    <w:p>
      <w:pPr>
        <w:wordWrap w:val="0"/>
        <w:spacing w:line="345" w:lineRule="auto"/>
        <w:rPr>
          <w:sz w:val="24"/>
        </w:rPr>
        <w:sectPr>
          <w:pgSz w:w="11910" w:h="16840"/>
          <w:pgMar w:top="1340" w:right="840" w:bottom="960" w:left="1020" w:header="877" w:footer="770" w:gutter="0"/>
          <w:cols w:space="720" w:num="1"/>
        </w:sectPr>
      </w:pPr>
    </w:p>
    <w:p>
      <w:pPr>
        <w:pStyle w:val="14"/>
        <w:numPr>
          <w:ilvl w:val="0"/>
          <w:numId w:val="8"/>
        </w:numPr>
        <w:tabs>
          <w:tab w:val="left" w:pos="1310"/>
        </w:tabs>
        <w:wordWrap w:val="0"/>
        <w:spacing w:before="113" w:line="343" w:lineRule="auto"/>
        <w:ind w:left="708" w:right="6575" w:firstLine="0"/>
        <w:rPr>
          <w:sz w:val="24"/>
        </w:rPr>
      </w:pPr>
      <w:r>
        <w:rPr>
          <w:spacing w:val="-1"/>
          <w:sz w:val="24"/>
        </w:rPr>
        <w:t>产品说明书或彩页。</w:t>
      </w:r>
      <w:r>
        <w:rPr>
          <w:sz w:val="24"/>
        </w:rPr>
        <w:t>4．商务部分：</w:t>
      </w:r>
    </w:p>
    <w:p>
      <w:pPr>
        <w:pStyle w:val="2"/>
        <w:wordWrap w:val="0"/>
        <w:spacing w:line="307" w:lineRule="exact"/>
        <w:ind w:left="708"/>
      </w:pPr>
      <w:r>
        <w:t>（1）响应产品销售业绩一览表。</w:t>
      </w:r>
    </w:p>
    <w:p>
      <w:pPr>
        <w:wordWrap w:val="0"/>
        <w:spacing w:before="69"/>
        <w:ind w:left="710"/>
        <w:rPr>
          <w:rFonts w:ascii="Microsoft YaHei UI" w:eastAsia="Microsoft YaHei UI"/>
          <w:b/>
          <w:sz w:val="24"/>
        </w:rPr>
      </w:pPr>
      <w:r>
        <w:rPr>
          <w:rFonts w:hint="eastAsia" w:ascii="Microsoft YaHei UI" w:eastAsia="Microsoft YaHei UI"/>
          <w:b/>
          <w:sz w:val="24"/>
        </w:rPr>
        <w:t>（十一）响应文件格式</w:t>
      </w:r>
    </w:p>
    <w:p>
      <w:pPr>
        <w:pStyle w:val="2"/>
        <w:wordWrap w:val="0"/>
        <w:spacing w:before="77" w:line="343" w:lineRule="auto"/>
        <w:ind w:left="227" w:right="403" w:firstLine="480"/>
        <w:jc w:val="both"/>
      </w:pPr>
      <w:r>
        <w:rPr>
          <w:spacing w:val="-8"/>
        </w:rPr>
        <w:t>供应商需按照上述响应文件构成顺序编制响应文件，按照磋商文件中“响应文件格式”</w:t>
      </w:r>
      <w:r>
        <w:rPr>
          <w:spacing w:val="-118"/>
        </w:rPr>
        <w:t xml:space="preserve"> </w:t>
      </w:r>
      <w:r>
        <w:t>填写响应函、法定代表人授权委托书、报价一览表等材料，为方便评审，供应商应编制响应文件目录。</w:t>
      </w:r>
    </w:p>
    <w:p>
      <w:pPr>
        <w:wordWrap w:val="0"/>
        <w:spacing w:line="363" w:lineRule="exact"/>
        <w:ind w:left="710"/>
        <w:rPr>
          <w:rFonts w:ascii="Microsoft YaHei UI" w:eastAsia="Microsoft YaHei UI"/>
          <w:b/>
          <w:sz w:val="24"/>
        </w:rPr>
      </w:pPr>
      <w:r>
        <w:rPr>
          <w:rFonts w:hint="eastAsia" w:ascii="Microsoft YaHei UI" w:eastAsia="Microsoft YaHei UI"/>
          <w:b/>
          <w:sz w:val="24"/>
        </w:rPr>
        <w:t>（十二）响应文件的价格部分</w:t>
      </w:r>
    </w:p>
    <w:p>
      <w:pPr>
        <w:pStyle w:val="14"/>
        <w:numPr>
          <w:ilvl w:val="0"/>
          <w:numId w:val="9"/>
        </w:numPr>
        <w:tabs>
          <w:tab w:val="left" w:pos="1070"/>
        </w:tabs>
        <w:wordWrap w:val="0"/>
        <w:spacing w:before="78" w:line="345" w:lineRule="auto"/>
        <w:ind w:left="227" w:right="403" w:firstLine="480"/>
        <w:rPr>
          <w:sz w:val="24"/>
        </w:rPr>
      </w:pPr>
      <w:r>
        <w:rPr>
          <w:spacing w:val="-2"/>
          <w:sz w:val="24"/>
        </w:rPr>
        <w:t>本项目报价为分次报价，供应商响应文件中的报价作为第一次报价，不公开，以最</w:t>
      </w:r>
      <w:r>
        <w:rPr>
          <w:sz w:val="24"/>
        </w:rPr>
        <w:t>终报价作为评审价。</w:t>
      </w:r>
    </w:p>
    <w:p>
      <w:pPr>
        <w:pStyle w:val="14"/>
        <w:numPr>
          <w:ilvl w:val="0"/>
          <w:numId w:val="9"/>
        </w:numPr>
        <w:tabs>
          <w:tab w:val="left" w:pos="1070"/>
        </w:tabs>
        <w:wordWrap w:val="0"/>
        <w:spacing w:before="0" w:line="343" w:lineRule="auto"/>
        <w:ind w:left="227" w:right="403" w:firstLine="480"/>
        <w:jc w:val="both"/>
        <w:rPr>
          <w:sz w:val="24"/>
        </w:rPr>
      </w:pPr>
      <w:r>
        <w:rPr>
          <w:spacing w:val="-2"/>
          <w:sz w:val="24"/>
        </w:rPr>
        <w:t>本项目不接受备选方案或有选择的报价，只允许有一个报价。响应报价应包括：货</w:t>
      </w:r>
      <w:r>
        <w:rPr>
          <w:sz w:val="24"/>
        </w:rPr>
        <w:t>物本身价格、运输、装卸、安装调试、税收、检测、售后服务及货物交付使用过程中涉及到的其他一切费用。</w:t>
      </w:r>
    </w:p>
    <w:p>
      <w:pPr>
        <w:pStyle w:val="14"/>
        <w:numPr>
          <w:ilvl w:val="0"/>
          <w:numId w:val="9"/>
        </w:numPr>
        <w:tabs>
          <w:tab w:val="left" w:pos="1070"/>
        </w:tabs>
        <w:wordWrap w:val="0"/>
        <w:spacing w:before="0"/>
        <w:ind w:left="1069" w:hanging="362"/>
        <w:rPr>
          <w:sz w:val="24"/>
        </w:rPr>
      </w:pPr>
      <w:r>
        <w:rPr>
          <w:sz w:val="24"/>
        </w:rPr>
        <w:t>报价注意事项：</w:t>
      </w:r>
    </w:p>
    <w:p>
      <w:pPr>
        <w:pStyle w:val="14"/>
        <w:numPr>
          <w:ilvl w:val="0"/>
          <w:numId w:val="10"/>
        </w:numPr>
        <w:tabs>
          <w:tab w:val="left" w:pos="1310"/>
        </w:tabs>
        <w:wordWrap w:val="0"/>
        <w:spacing w:before="127"/>
        <w:ind w:hanging="602"/>
        <w:rPr>
          <w:sz w:val="24"/>
        </w:rPr>
      </w:pPr>
      <w:r>
        <w:rPr>
          <w:sz w:val="24"/>
        </w:rPr>
        <w:t>价格一律以人民币计算，以元为单位标准；</w:t>
      </w:r>
    </w:p>
    <w:p>
      <w:pPr>
        <w:pStyle w:val="14"/>
        <w:numPr>
          <w:ilvl w:val="0"/>
          <w:numId w:val="10"/>
        </w:numPr>
        <w:tabs>
          <w:tab w:val="left" w:pos="1315"/>
        </w:tabs>
        <w:wordWrap w:val="0"/>
        <w:spacing w:before="134" w:line="343" w:lineRule="auto"/>
        <w:ind w:left="227" w:right="285" w:firstLine="480"/>
        <w:rPr>
          <w:sz w:val="24"/>
        </w:rPr>
      </w:pPr>
      <w:r>
        <w:rPr>
          <w:sz w:val="24"/>
        </w:rPr>
        <w:t>供应商报价时应充分考虑所有可能影响到报价的因素，一旦磋商结束最终成交，</w:t>
      </w:r>
      <w:r>
        <w:rPr>
          <w:spacing w:val="-117"/>
          <w:sz w:val="24"/>
        </w:rPr>
        <w:t xml:space="preserve"> </w:t>
      </w:r>
      <w:r>
        <w:rPr>
          <w:sz w:val="24"/>
        </w:rPr>
        <w:t>如发生漏、缺、少项，都将被认为是成交人的报价让利行为，损失自负。</w:t>
      </w:r>
    </w:p>
    <w:p>
      <w:pPr>
        <w:wordWrap w:val="0"/>
        <w:spacing w:line="361" w:lineRule="exact"/>
        <w:ind w:left="710"/>
        <w:rPr>
          <w:rFonts w:ascii="Microsoft YaHei UI" w:eastAsia="Microsoft YaHei UI"/>
          <w:b/>
          <w:sz w:val="24"/>
        </w:rPr>
      </w:pPr>
      <w:r>
        <w:rPr>
          <w:rFonts w:hint="eastAsia" w:ascii="Microsoft YaHei UI" w:eastAsia="Microsoft YaHei UI"/>
          <w:b/>
          <w:sz w:val="24"/>
        </w:rPr>
        <w:t>（十三）竞争性磋商保证金</w:t>
      </w:r>
    </w:p>
    <w:p>
      <w:pPr>
        <w:pStyle w:val="2"/>
        <w:wordWrap w:val="0"/>
        <w:spacing w:before="80"/>
        <w:ind w:left="708"/>
      </w:pPr>
      <w:r>
        <w:t>1.本项目不需缴纳磋商保证金</w:t>
      </w:r>
    </w:p>
    <w:p>
      <w:pPr>
        <w:wordWrap w:val="0"/>
        <w:spacing w:before="67"/>
        <w:ind w:left="710"/>
        <w:rPr>
          <w:rFonts w:ascii="Microsoft YaHei UI" w:eastAsia="Microsoft YaHei UI"/>
          <w:b/>
          <w:sz w:val="24"/>
        </w:rPr>
      </w:pPr>
      <w:r>
        <w:rPr>
          <w:rFonts w:hint="eastAsia" w:ascii="Microsoft YaHei UI" w:eastAsia="Microsoft YaHei UI"/>
          <w:b/>
          <w:sz w:val="24"/>
        </w:rPr>
        <w:t>（十四）响应有效期</w:t>
      </w:r>
    </w:p>
    <w:p>
      <w:pPr>
        <w:pStyle w:val="14"/>
        <w:numPr>
          <w:ilvl w:val="0"/>
          <w:numId w:val="11"/>
        </w:numPr>
        <w:tabs>
          <w:tab w:val="left" w:pos="950"/>
        </w:tabs>
        <w:wordWrap w:val="0"/>
        <w:spacing w:before="77"/>
        <w:ind w:hanging="242"/>
        <w:rPr>
          <w:sz w:val="24"/>
        </w:rPr>
      </w:pPr>
      <w:r>
        <w:rPr>
          <w:sz w:val="24"/>
        </w:rPr>
        <w:t>供应商响应文件有效期少于本须知前附表规定的响应有效期的，作无效标处理。</w:t>
      </w:r>
    </w:p>
    <w:p>
      <w:pPr>
        <w:pStyle w:val="14"/>
        <w:numPr>
          <w:ilvl w:val="0"/>
          <w:numId w:val="11"/>
        </w:numPr>
        <w:tabs>
          <w:tab w:val="left" w:pos="951"/>
        </w:tabs>
        <w:wordWrap w:val="0"/>
        <w:spacing w:before="134" w:line="343" w:lineRule="auto"/>
        <w:ind w:left="227" w:right="403" w:firstLine="480"/>
        <w:jc w:val="both"/>
        <w:rPr>
          <w:sz w:val="24"/>
        </w:rPr>
      </w:pPr>
      <w:r>
        <w:rPr>
          <w:sz w:val="24"/>
        </w:rPr>
        <w:t>在特殊情况下，采购人于原响应有效期满之前，可向供应商提出延长响应有效期的</w:t>
      </w:r>
      <w:r>
        <w:rPr>
          <w:spacing w:val="-5"/>
          <w:sz w:val="24"/>
        </w:rPr>
        <w:t>要求，这种要求与答复均应采用书面形式</w:t>
      </w:r>
      <w:r>
        <w:rPr>
          <w:sz w:val="24"/>
        </w:rPr>
        <w:t>（</w:t>
      </w:r>
      <w:r>
        <w:rPr>
          <w:spacing w:val="-4"/>
          <w:sz w:val="24"/>
        </w:rPr>
        <w:t>如邮件、信函等</w:t>
      </w:r>
      <w:r>
        <w:rPr>
          <w:spacing w:val="-120"/>
          <w:sz w:val="24"/>
        </w:rPr>
        <w:t>）</w:t>
      </w:r>
      <w:r>
        <w:rPr>
          <w:spacing w:val="-5"/>
          <w:sz w:val="24"/>
        </w:rPr>
        <w:t>，供应商可拒绝这一要求而放</w:t>
      </w:r>
      <w:r>
        <w:rPr>
          <w:sz w:val="24"/>
        </w:rPr>
        <w:t>弃响应。</w:t>
      </w:r>
    </w:p>
    <w:p>
      <w:pPr>
        <w:wordWrap w:val="0"/>
        <w:spacing w:line="364" w:lineRule="exact"/>
        <w:ind w:left="710"/>
        <w:rPr>
          <w:rFonts w:ascii="Microsoft YaHei UI" w:eastAsia="Microsoft YaHei UI"/>
          <w:b/>
          <w:sz w:val="24"/>
        </w:rPr>
      </w:pPr>
      <w:r>
        <w:rPr>
          <w:rFonts w:hint="eastAsia" w:ascii="Microsoft YaHei UI" w:eastAsia="Microsoft YaHei UI"/>
          <w:b/>
          <w:sz w:val="24"/>
        </w:rPr>
        <w:t>（十五）响应文件份数和签署要求</w:t>
      </w:r>
    </w:p>
    <w:p>
      <w:pPr>
        <w:pStyle w:val="14"/>
        <w:numPr>
          <w:ilvl w:val="0"/>
          <w:numId w:val="12"/>
        </w:numPr>
        <w:tabs>
          <w:tab w:val="left" w:pos="950"/>
        </w:tabs>
        <w:wordWrap w:val="0"/>
        <w:spacing w:before="77" w:line="343" w:lineRule="auto"/>
        <w:ind w:left="227" w:right="402" w:firstLine="480"/>
        <w:jc w:val="both"/>
        <w:rPr>
          <w:sz w:val="24"/>
        </w:rPr>
      </w:pPr>
      <w:r>
        <w:rPr>
          <w:spacing w:val="-3"/>
          <w:sz w:val="24"/>
        </w:rPr>
        <w:t xml:space="preserve">供应商应按照供应商须知的要求准备响应文件，正本 </w:t>
      </w:r>
      <w:r>
        <w:rPr>
          <w:sz w:val="24"/>
        </w:rPr>
        <w:t>1</w:t>
      </w:r>
      <w:r>
        <w:rPr>
          <w:spacing w:val="-16"/>
          <w:sz w:val="24"/>
        </w:rPr>
        <w:t xml:space="preserve"> 份，副本 </w:t>
      </w:r>
      <w:r>
        <w:rPr>
          <w:sz w:val="24"/>
        </w:rPr>
        <w:t>4</w:t>
      </w:r>
      <w:r>
        <w:rPr>
          <w:spacing w:val="-7"/>
          <w:sz w:val="24"/>
        </w:rPr>
        <w:t xml:space="preserve"> 份。每份响应文</w:t>
      </w:r>
      <w:r>
        <w:rPr>
          <w:sz w:val="24"/>
        </w:rPr>
        <w:t>件封面显著处标明“正本”或“副本”字样。响应文件的正本和副本均需打印，一旦正本和副本不符，以正本为准。</w:t>
      </w:r>
    </w:p>
    <w:p>
      <w:pPr>
        <w:pStyle w:val="14"/>
        <w:numPr>
          <w:ilvl w:val="0"/>
          <w:numId w:val="12"/>
        </w:numPr>
        <w:tabs>
          <w:tab w:val="left" w:pos="951"/>
        </w:tabs>
        <w:wordWrap w:val="0"/>
        <w:spacing w:before="1" w:line="343" w:lineRule="auto"/>
        <w:ind w:left="227" w:right="407" w:firstLine="480"/>
        <w:rPr>
          <w:sz w:val="24"/>
        </w:rPr>
      </w:pPr>
      <w:r>
        <w:rPr>
          <w:sz w:val="24"/>
        </w:rPr>
        <w:t>除供应商对错处做必要修改外，响应文件不得行间插字、涂改或增删，必要的修改处必须有响应供应商法人代表或其授权代表人签字并盖章。</w:t>
      </w:r>
    </w:p>
    <w:p>
      <w:pPr>
        <w:wordWrap w:val="0"/>
        <w:spacing w:line="363" w:lineRule="exact"/>
        <w:ind w:left="710"/>
        <w:rPr>
          <w:rFonts w:ascii="Microsoft YaHei UI" w:eastAsia="Microsoft YaHei UI"/>
          <w:b/>
          <w:sz w:val="24"/>
        </w:rPr>
      </w:pPr>
      <w:r>
        <w:rPr>
          <w:rFonts w:hint="eastAsia" w:ascii="Microsoft YaHei UI" w:eastAsia="Microsoft YaHei UI"/>
          <w:b/>
          <w:sz w:val="24"/>
        </w:rPr>
        <w:t>（十六）响应文件的装订和密封</w:t>
      </w:r>
    </w:p>
    <w:p>
      <w:pPr>
        <w:pStyle w:val="14"/>
        <w:numPr>
          <w:ilvl w:val="0"/>
          <w:numId w:val="13"/>
        </w:numPr>
        <w:tabs>
          <w:tab w:val="left" w:pos="951"/>
        </w:tabs>
        <w:wordWrap w:val="0"/>
        <w:spacing w:before="77"/>
        <w:rPr>
          <w:sz w:val="24"/>
        </w:rPr>
      </w:pPr>
      <w:r>
        <w:rPr>
          <w:sz w:val="24"/>
        </w:rPr>
        <w:t>除特别说明外，全套响应文件的书面部分须胶装成册，不得采用活页夹等可随时拆</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换的方式装订。</w:t>
      </w:r>
    </w:p>
    <w:p>
      <w:pPr>
        <w:pStyle w:val="14"/>
        <w:numPr>
          <w:ilvl w:val="0"/>
          <w:numId w:val="13"/>
        </w:numPr>
        <w:tabs>
          <w:tab w:val="left" w:pos="950"/>
        </w:tabs>
        <w:wordWrap w:val="0"/>
        <w:spacing w:line="343" w:lineRule="auto"/>
        <w:ind w:left="227" w:right="403" w:firstLine="480"/>
        <w:rPr>
          <w:sz w:val="24"/>
        </w:rPr>
      </w:pPr>
      <w:r>
        <w:rPr>
          <w:spacing w:val="-11"/>
          <w:sz w:val="24"/>
        </w:rPr>
        <w:t>供应商应将响应文件密封包装。密封件外层正面应注明供应商名称、响应项目名称、</w:t>
      </w:r>
      <w:r>
        <w:rPr>
          <w:sz w:val="24"/>
        </w:rPr>
        <w:t>项目编号等字样，并加盖公章，因标注不清而产生的一切后果由供应商自负。</w:t>
      </w:r>
    </w:p>
    <w:p>
      <w:pPr>
        <w:pStyle w:val="2"/>
        <w:wordWrap w:val="0"/>
        <w:spacing w:before="5"/>
        <w:rPr>
          <w:sz w:val="17"/>
        </w:rPr>
      </w:pPr>
    </w:p>
    <w:p>
      <w:pPr>
        <w:wordWrap w:val="0"/>
        <w:spacing w:line="616" w:lineRule="exact"/>
        <w:ind w:right="175"/>
        <w:jc w:val="center"/>
        <w:rPr>
          <w:rFonts w:ascii="Microsoft YaHei UI" w:eastAsia="Microsoft YaHei UI"/>
          <w:b/>
          <w:sz w:val="36"/>
        </w:rPr>
      </w:pPr>
      <w:bookmarkStart w:id="6" w:name="_TOC_250007"/>
      <w:bookmarkEnd w:id="6"/>
      <w:r>
        <w:rPr>
          <w:rFonts w:hint="eastAsia" w:ascii="Microsoft YaHei UI" w:eastAsia="Microsoft YaHei UI"/>
          <w:b/>
          <w:sz w:val="36"/>
        </w:rPr>
        <w:t>四、响应文件的递交</w:t>
      </w:r>
    </w:p>
    <w:p>
      <w:pPr>
        <w:wordWrap w:val="0"/>
        <w:spacing w:line="403" w:lineRule="exact"/>
        <w:ind w:left="710"/>
        <w:rPr>
          <w:rFonts w:ascii="Microsoft YaHei UI" w:eastAsia="Microsoft YaHei UI"/>
          <w:b/>
          <w:sz w:val="24"/>
        </w:rPr>
      </w:pPr>
      <w:r>
        <w:rPr>
          <w:rFonts w:hint="eastAsia" w:ascii="Microsoft YaHei UI" w:eastAsia="Microsoft YaHei UI"/>
          <w:b/>
          <w:sz w:val="24"/>
        </w:rPr>
        <w:t>（十七）响应文件的递交</w:t>
      </w:r>
    </w:p>
    <w:p>
      <w:pPr>
        <w:pStyle w:val="14"/>
        <w:numPr>
          <w:ilvl w:val="0"/>
          <w:numId w:val="14"/>
        </w:numPr>
        <w:tabs>
          <w:tab w:val="left" w:pos="942"/>
        </w:tabs>
        <w:wordWrap w:val="0"/>
        <w:spacing w:before="80" w:line="343" w:lineRule="auto"/>
        <w:ind w:left="227" w:right="403" w:firstLine="470"/>
        <w:rPr>
          <w:sz w:val="24"/>
        </w:rPr>
      </w:pPr>
      <w:r>
        <w:rPr>
          <w:sz w:val="24"/>
        </w:rPr>
        <w:t>首次响应文件必须在规定的接收截止时间前送达指定磋商地点，采购单位对误投或过早启封概不负责。</w:t>
      </w:r>
    </w:p>
    <w:p>
      <w:pPr>
        <w:pStyle w:val="14"/>
        <w:numPr>
          <w:ilvl w:val="0"/>
          <w:numId w:val="14"/>
        </w:numPr>
        <w:tabs>
          <w:tab w:val="left" w:pos="940"/>
        </w:tabs>
        <w:wordWrap w:val="0"/>
        <w:spacing w:before="0" w:line="307" w:lineRule="exact"/>
        <w:ind w:left="939" w:hanging="242"/>
        <w:rPr>
          <w:sz w:val="24"/>
        </w:rPr>
      </w:pPr>
      <w:r>
        <w:rPr>
          <w:sz w:val="24"/>
        </w:rPr>
        <w:t>除磋商文件另有规定外，供应商提交的响应文件不予退还。</w:t>
      </w:r>
    </w:p>
    <w:p>
      <w:pPr>
        <w:pStyle w:val="14"/>
        <w:numPr>
          <w:ilvl w:val="0"/>
          <w:numId w:val="14"/>
        </w:numPr>
        <w:tabs>
          <w:tab w:val="left" w:pos="951"/>
        </w:tabs>
        <w:wordWrap w:val="0"/>
        <w:spacing w:before="182" w:line="388" w:lineRule="auto"/>
        <w:ind w:left="227" w:right="401" w:firstLine="480"/>
        <w:rPr>
          <w:sz w:val="24"/>
        </w:rPr>
      </w:pPr>
      <w:r>
        <w:rPr>
          <w:sz w:val="24"/>
        </w:rPr>
        <w:t>首次响应文件的修改和撤回：在递交首次响应文件截止时间前，供应商可以撤回或重新递交响应文件，以截止时间前完成递交的最后一份响应文件为准。</w:t>
      </w:r>
    </w:p>
    <w:p>
      <w:pPr>
        <w:pStyle w:val="14"/>
        <w:numPr>
          <w:ilvl w:val="0"/>
          <w:numId w:val="14"/>
        </w:numPr>
        <w:tabs>
          <w:tab w:val="left" w:pos="951"/>
        </w:tabs>
        <w:wordWrap w:val="0"/>
        <w:spacing w:before="0" w:line="262" w:lineRule="exact"/>
        <w:ind w:left="950"/>
        <w:rPr>
          <w:sz w:val="24"/>
        </w:rPr>
      </w:pPr>
      <w:r>
        <w:rPr>
          <w:sz w:val="24"/>
        </w:rPr>
        <w:t>采购人可以通过修改磋商文件酌情延长响应文件接收截止日期，在此情况下，供应</w:t>
      </w:r>
    </w:p>
    <w:p>
      <w:pPr>
        <w:pStyle w:val="2"/>
        <w:wordWrap w:val="0"/>
        <w:spacing w:before="134"/>
        <w:ind w:left="227"/>
      </w:pPr>
      <w:r>
        <w:t>商的所有权利和义务以及供应商受制约的截止日期均应以延长后新的截止日期为准。</w:t>
      </w:r>
    </w:p>
    <w:p>
      <w:pPr>
        <w:wordWrap w:val="0"/>
        <w:spacing w:before="67"/>
        <w:ind w:left="710"/>
        <w:rPr>
          <w:rFonts w:ascii="Microsoft YaHei UI" w:eastAsia="Microsoft YaHei UI"/>
          <w:b/>
          <w:sz w:val="24"/>
        </w:rPr>
      </w:pPr>
      <w:r>
        <w:rPr>
          <w:rFonts w:hint="eastAsia" w:ascii="Microsoft YaHei UI" w:eastAsia="Microsoft YaHei UI"/>
          <w:b/>
          <w:sz w:val="24"/>
        </w:rPr>
        <w:t>（十八）响应文件被拒绝接收的情形</w:t>
      </w:r>
    </w:p>
    <w:p>
      <w:pPr>
        <w:pStyle w:val="14"/>
        <w:numPr>
          <w:ilvl w:val="0"/>
          <w:numId w:val="15"/>
        </w:numPr>
        <w:tabs>
          <w:tab w:val="left" w:pos="1070"/>
        </w:tabs>
        <w:wordWrap w:val="0"/>
        <w:spacing w:before="77"/>
        <w:ind w:hanging="362"/>
        <w:rPr>
          <w:sz w:val="24"/>
        </w:rPr>
      </w:pPr>
      <w:r>
        <w:rPr>
          <w:sz w:val="24"/>
        </w:rPr>
        <w:t>在规定的响应文件接收截止时间后递交的响应文件。</w:t>
      </w:r>
    </w:p>
    <w:p>
      <w:pPr>
        <w:pStyle w:val="14"/>
        <w:numPr>
          <w:ilvl w:val="0"/>
          <w:numId w:val="15"/>
        </w:numPr>
        <w:tabs>
          <w:tab w:val="left" w:pos="1070"/>
        </w:tabs>
        <w:wordWrap w:val="0"/>
        <w:spacing w:before="134"/>
        <w:ind w:hanging="362"/>
        <w:rPr>
          <w:sz w:val="24"/>
        </w:rPr>
      </w:pPr>
      <w:r>
        <w:rPr>
          <w:sz w:val="24"/>
        </w:rPr>
        <w:t>未按磋商文件要求密封的响应文件。</w:t>
      </w:r>
    </w:p>
    <w:p>
      <w:pPr>
        <w:pStyle w:val="14"/>
        <w:numPr>
          <w:ilvl w:val="0"/>
          <w:numId w:val="15"/>
        </w:numPr>
        <w:tabs>
          <w:tab w:val="left" w:pos="1070"/>
        </w:tabs>
        <w:wordWrap w:val="0"/>
        <w:ind w:hanging="362"/>
        <w:rPr>
          <w:sz w:val="24"/>
        </w:rPr>
      </w:pPr>
      <w:r>
        <w:rPr>
          <w:sz w:val="24"/>
        </w:rPr>
        <w:t>供应商法定代表人或其授权委托人未携带本人身份证参与磋商活动的。</w:t>
      </w:r>
    </w:p>
    <w:p>
      <w:pPr>
        <w:wordWrap w:val="0"/>
        <w:spacing w:before="67"/>
        <w:ind w:left="708"/>
        <w:rPr>
          <w:rFonts w:ascii="Microsoft YaHei UI" w:eastAsia="Microsoft YaHei UI"/>
          <w:b/>
          <w:sz w:val="24"/>
        </w:rPr>
      </w:pPr>
      <w:r>
        <w:rPr>
          <w:rFonts w:hint="eastAsia" w:ascii="Microsoft YaHei UI" w:eastAsia="Microsoft YaHei UI"/>
          <w:b/>
          <w:sz w:val="24"/>
        </w:rPr>
        <w:t>（十九）响应文件的修改和撤回</w:t>
      </w:r>
    </w:p>
    <w:p>
      <w:pPr>
        <w:pStyle w:val="14"/>
        <w:numPr>
          <w:ilvl w:val="0"/>
          <w:numId w:val="16"/>
        </w:numPr>
        <w:tabs>
          <w:tab w:val="left" w:pos="1070"/>
        </w:tabs>
        <w:wordWrap w:val="0"/>
        <w:spacing w:before="79" w:line="343" w:lineRule="auto"/>
        <w:ind w:left="227" w:right="403" w:firstLine="480"/>
        <w:rPr>
          <w:sz w:val="24"/>
        </w:rPr>
      </w:pPr>
      <w:r>
        <w:rPr>
          <w:spacing w:val="-11"/>
          <w:sz w:val="24"/>
        </w:rPr>
        <w:t>供应商在递交响应文件截止时间之前，对所递交的响应文件可以补充、修改，补充</w:t>
      </w:r>
      <w:r>
        <w:rPr>
          <w:sz w:val="24"/>
        </w:rPr>
        <w:t>、修改的内容为响应文件的组成部分，对响应供应商具有约束力。</w:t>
      </w:r>
    </w:p>
    <w:p>
      <w:pPr>
        <w:pStyle w:val="14"/>
        <w:numPr>
          <w:ilvl w:val="0"/>
          <w:numId w:val="16"/>
        </w:numPr>
        <w:tabs>
          <w:tab w:val="left" w:pos="1070"/>
        </w:tabs>
        <w:wordWrap w:val="0"/>
        <w:spacing w:before="0" w:line="345" w:lineRule="auto"/>
        <w:ind w:left="227" w:right="403" w:firstLine="480"/>
        <w:rPr>
          <w:sz w:val="24"/>
        </w:rPr>
      </w:pPr>
      <w:r>
        <w:rPr>
          <w:spacing w:val="-2"/>
          <w:sz w:val="24"/>
        </w:rPr>
        <w:t>首次响应文件的修改或撤回应按规定进行编制、密封、标记和递交，并应在封套上</w:t>
      </w:r>
      <w:r>
        <w:rPr>
          <w:sz w:val="24"/>
        </w:rPr>
        <w:t>加注“修改”和“撤回”字样。修改的文件必须在首次响应截止时间前送达。</w:t>
      </w:r>
    </w:p>
    <w:p>
      <w:pPr>
        <w:pStyle w:val="14"/>
        <w:numPr>
          <w:ilvl w:val="0"/>
          <w:numId w:val="16"/>
        </w:numPr>
        <w:tabs>
          <w:tab w:val="left" w:pos="1070"/>
        </w:tabs>
        <w:wordWrap w:val="0"/>
        <w:spacing w:before="0" w:line="343" w:lineRule="auto"/>
        <w:ind w:left="227" w:right="400" w:firstLine="480"/>
        <w:rPr>
          <w:sz w:val="24"/>
        </w:rPr>
      </w:pPr>
      <w:r>
        <w:rPr>
          <w:sz w:val="24"/>
        </w:rPr>
        <w:t>首次响应截止时间之后，供应商不得对其首次响应文件作任何修改，不得撤回响应文件。</w:t>
      </w:r>
    </w:p>
    <w:p>
      <w:pPr>
        <w:pStyle w:val="2"/>
        <w:wordWrap w:val="0"/>
        <w:rPr>
          <w:sz w:val="17"/>
        </w:rPr>
      </w:pPr>
    </w:p>
    <w:p>
      <w:pPr>
        <w:wordWrap w:val="0"/>
        <w:spacing w:before="1" w:line="616" w:lineRule="exact"/>
        <w:ind w:left="853" w:right="313"/>
        <w:jc w:val="center"/>
        <w:rPr>
          <w:rFonts w:ascii="Microsoft YaHei UI" w:eastAsia="Microsoft YaHei UI"/>
          <w:b/>
          <w:sz w:val="36"/>
        </w:rPr>
      </w:pPr>
      <w:r>
        <w:rPr>
          <w:rFonts w:hint="eastAsia" w:ascii="Microsoft YaHei UI" w:eastAsia="Microsoft YaHei UI"/>
          <w:b/>
          <w:sz w:val="36"/>
        </w:rPr>
        <w:t>五、无效响应、废标、串通响应判定条款</w:t>
      </w:r>
    </w:p>
    <w:p>
      <w:pPr>
        <w:wordWrap w:val="0"/>
        <w:spacing w:line="403" w:lineRule="exact"/>
        <w:ind w:left="710"/>
        <w:rPr>
          <w:rFonts w:ascii="Microsoft YaHei UI" w:eastAsia="Microsoft YaHei UI"/>
          <w:b/>
          <w:sz w:val="24"/>
        </w:rPr>
      </w:pPr>
      <w:r>
        <w:rPr>
          <w:rFonts w:hint="eastAsia" w:ascii="Microsoft YaHei UI" w:eastAsia="Microsoft YaHei UI"/>
          <w:b/>
          <w:sz w:val="24"/>
        </w:rPr>
        <w:t>（二十）无效响应条款</w:t>
      </w:r>
    </w:p>
    <w:p>
      <w:pPr>
        <w:pStyle w:val="14"/>
        <w:numPr>
          <w:ilvl w:val="0"/>
          <w:numId w:val="17"/>
        </w:numPr>
        <w:tabs>
          <w:tab w:val="left" w:pos="1070"/>
        </w:tabs>
        <w:wordWrap w:val="0"/>
        <w:spacing w:before="79" w:line="343" w:lineRule="auto"/>
        <w:ind w:left="227" w:right="403" w:firstLine="480"/>
        <w:rPr>
          <w:sz w:val="24"/>
        </w:rPr>
      </w:pPr>
      <w:r>
        <w:rPr>
          <w:sz w:val="24"/>
        </w:rPr>
        <w:t>供应商不符合本竞争性磋商文件规定资格要求或未按规定提交资质证明材料或提交虚假材料的；</w:t>
      </w:r>
    </w:p>
    <w:p>
      <w:pPr>
        <w:pStyle w:val="14"/>
        <w:numPr>
          <w:ilvl w:val="0"/>
          <w:numId w:val="17"/>
        </w:numPr>
        <w:tabs>
          <w:tab w:val="left" w:pos="950"/>
        </w:tabs>
        <w:wordWrap w:val="0"/>
        <w:spacing w:before="0" w:line="306" w:lineRule="exact"/>
        <w:ind w:left="949" w:hanging="242"/>
        <w:rPr>
          <w:sz w:val="24"/>
        </w:rPr>
      </w:pPr>
      <w:r>
        <w:rPr>
          <w:sz w:val="24"/>
        </w:rPr>
        <w:t>法人或授权委托人不参加磋商会议及质询事宜的；</w:t>
      </w:r>
    </w:p>
    <w:p>
      <w:pPr>
        <w:pStyle w:val="14"/>
        <w:numPr>
          <w:ilvl w:val="0"/>
          <w:numId w:val="17"/>
        </w:numPr>
        <w:tabs>
          <w:tab w:val="left" w:pos="951"/>
        </w:tabs>
        <w:wordWrap w:val="0"/>
        <w:spacing w:before="134"/>
        <w:ind w:left="950" w:hanging="243"/>
        <w:rPr>
          <w:sz w:val="24"/>
        </w:rPr>
      </w:pPr>
      <w:r>
        <w:rPr>
          <w:sz w:val="24"/>
        </w:rPr>
        <w:t>未按本竞争性磋商文件要求提供响应文件，或者响应文件签署、盖章不符合本竞争</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性磋商文件要求的；</w:t>
      </w:r>
    </w:p>
    <w:p>
      <w:pPr>
        <w:pStyle w:val="14"/>
        <w:numPr>
          <w:ilvl w:val="0"/>
          <w:numId w:val="17"/>
        </w:numPr>
        <w:tabs>
          <w:tab w:val="left" w:pos="950"/>
        </w:tabs>
        <w:wordWrap w:val="0"/>
        <w:ind w:left="949" w:hanging="242"/>
        <w:rPr>
          <w:sz w:val="24"/>
        </w:rPr>
      </w:pPr>
      <w:r>
        <w:rPr>
          <w:sz w:val="24"/>
        </w:rPr>
        <w:t>报价超过本竞争性磋商文件规定的预算金额或者最高限价的；</w:t>
      </w:r>
    </w:p>
    <w:p>
      <w:pPr>
        <w:pStyle w:val="14"/>
        <w:numPr>
          <w:ilvl w:val="0"/>
          <w:numId w:val="17"/>
        </w:numPr>
        <w:tabs>
          <w:tab w:val="left" w:pos="950"/>
        </w:tabs>
        <w:wordWrap w:val="0"/>
        <w:spacing w:before="131" w:line="345" w:lineRule="auto"/>
        <w:ind w:left="227" w:right="402" w:firstLine="480"/>
        <w:rPr>
          <w:sz w:val="24"/>
        </w:rPr>
      </w:pPr>
      <w:r>
        <w:rPr>
          <w:spacing w:val="-8"/>
          <w:sz w:val="24"/>
        </w:rPr>
        <w:t>响应文件出现重大偏离，未对本竞争性磋商文件进行实质性响应的(★号部分为实质</w:t>
      </w:r>
      <w:r>
        <w:rPr>
          <w:sz w:val="24"/>
        </w:rPr>
        <w:t>性要求)；</w:t>
      </w:r>
    </w:p>
    <w:p>
      <w:pPr>
        <w:pStyle w:val="14"/>
        <w:numPr>
          <w:ilvl w:val="0"/>
          <w:numId w:val="17"/>
        </w:numPr>
        <w:tabs>
          <w:tab w:val="left" w:pos="950"/>
        </w:tabs>
        <w:wordWrap w:val="0"/>
        <w:spacing w:before="0" w:line="303" w:lineRule="exact"/>
        <w:ind w:left="949" w:hanging="242"/>
        <w:rPr>
          <w:sz w:val="24"/>
        </w:rPr>
      </w:pPr>
      <w:r>
        <w:rPr>
          <w:sz w:val="24"/>
        </w:rPr>
        <w:t>响应文件含有采购人不能接受的附加条件的；</w:t>
      </w:r>
    </w:p>
    <w:p>
      <w:pPr>
        <w:pStyle w:val="14"/>
        <w:numPr>
          <w:ilvl w:val="0"/>
          <w:numId w:val="17"/>
        </w:numPr>
        <w:tabs>
          <w:tab w:val="left" w:pos="950"/>
        </w:tabs>
        <w:wordWrap w:val="0"/>
        <w:ind w:left="949" w:hanging="242"/>
        <w:rPr>
          <w:sz w:val="24"/>
        </w:rPr>
      </w:pPr>
      <w:r>
        <w:rPr>
          <w:sz w:val="24"/>
        </w:rPr>
        <w:t>供应商有本磋商文件规定的恶意串通响应情形的；</w:t>
      </w:r>
    </w:p>
    <w:p>
      <w:pPr>
        <w:pStyle w:val="14"/>
        <w:numPr>
          <w:ilvl w:val="0"/>
          <w:numId w:val="17"/>
        </w:numPr>
        <w:tabs>
          <w:tab w:val="left" w:pos="950"/>
        </w:tabs>
        <w:wordWrap w:val="0"/>
        <w:spacing w:before="134"/>
        <w:ind w:left="949" w:hanging="242"/>
        <w:rPr>
          <w:sz w:val="24"/>
        </w:rPr>
      </w:pPr>
      <w:r>
        <w:rPr>
          <w:sz w:val="24"/>
        </w:rPr>
        <w:t>其它磋商小组认为有必要取消的响应申请；</w:t>
      </w:r>
    </w:p>
    <w:p>
      <w:pPr>
        <w:pStyle w:val="14"/>
        <w:numPr>
          <w:ilvl w:val="0"/>
          <w:numId w:val="17"/>
        </w:numPr>
        <w:tabs>
          <w:tab w:val="left" w:pos="950"/>
        </w:tabs>
        <w:wordWrap w:val="0"/>
        <w:ind w:left="949" w:hanging="242"/>
        <w:rPr>
          <w:sz w:val="24"/>
        </w:rPr>
      </w:pPr>
      <w:r>
        <w:rPr>
          <w:sz w:val="24"/>
        </w:rPr>
        <w:t>法律、法规规定的其他情况。</w:t>
      </w:r>
    </w:p>
    <w:p>
      <w:pPr>
        <w:wordWrap w:val="0"/>
        <w:spacing w:before="67"/>
        <w:ind w:left="710"/>
        <w:rPr>
          <w:rFonts w:ascii="Microsoft YaHei UI" w:eastAsia="Microsoft YaHei UI"/>
          <w:b/>
          <w:sz w:val="24"/>
        </w:rPr>
      </w:pPr>
      <w:r>
        <w:rPr>
          <w:rFonts w:hint="eastAsia" w:ascii="Microsoft YaHei UI" w:eastAsia="Microsoft YaHei UI"/>
          <w:b/>
          <w:sz w:val="24"/>
        </w:rPr>
        <w:t>（二十一）废标条款</w:t>
      </w:r>
    </w:p>
    <w:p>
      <w:pPr>
        <w:pStyle w:val="14"/>
        <w:numPr>
          <w:ilvl w:val="0"/>
          <w:numId w:val="18"/>
        </w:numPr>
        <w:tabs>
          <w:tab w:val="left" w:pos="950"/>
        </w:tabs>
        <w:wordWrap w:val="0"/>
        <w:spacing w:before="80"/>
        <w:ind w:hanging="242"/>
        <w:rPr>
          <w:sz w:val="24"/>
        </w:rPr>
      </w:pPr>
      <w:r>
        <w:rPr>
          <w:sz w:val="24"/>
        </w:rPr>
        <w:t>因情况变化，不再符合规定的竞争性磋商采购方式适用情形的；</w:t>
      </w:r>
    </w:p>
    <w:p>
      <w:pPr>
        <w:pStyle w:val="14"/>
        <w:numPr>
          <w:ilvl w:val="0"/>
          <w:numId w:val="18"/>
        </w:numPr>
        <w:tabs>
          <w:tab w:val="left" w:pos="951"/>
        </w:tabs>
        <w:wordWrap w:val="0"/>
        <w:spacing w:before="131" w:line="343" w:lineRule="auto"/>
        <w:ind w:left="227" w:right="407" w:firstLine="480"/>
        <w:rPr>
          <w:sz w:val="24"/>
        </w:rPr>
      </w:pPr>
      <w:r>
        <w:rPr>
          <w:sz w:val="24"/>
        </w:rPr>
        <w:t>符合专业条件的供应商或者对磋商文件作实质响应的供应商不足三家的（符合二十二条情形的除外</w:t>
      </w:r>
      <w:r>
        <w:rPr>
          <w:spacing w:val="-120"/>
          <w:sz w:val="24"/>
        </w:rPr>
        <w:t>）</w:t>
      </w:r>
      <w:r>
        <w:rPr>
          <w:sz w:val="24"/>
        </w:rPr>
        <w:t>；</w:t>
      </w:r>
    </w:p>
    <w:p>
      <w:pPr>
        <w:pStyle w:val="14"/>
        <w:numPr>
          <w:ilvl w:val="0"/>
          <w:numId w:val="18"/>
        </w:numPr>
        <w:tabs>
          <w:tab w:val="left" w:pos="950"/>
        </w:tabs>
        <w:wordWrap w:val="0"/>
        <w:spacing w:before="2"/>
        <w:ind w:hanging="242"/>
        <w:rPr>
          <w:sz w:val="24"/>
        </w:rPr>
      </w:pPr>
      <w:r>
        <w:rPr>
          <w:sz w:val="24"/>
        </w:rPr>
        <w:t>出现影响采购公正的违法、违规行为的；</w:t>
      </w:r>
    </w:p>
    <w:p>
      <w:pPr>
        <w:pStyle w:val="14"/>
        <w:numPr>
          <w:ilvl w:val="0"/>
          <w:numId w:val="18"/>
        </w:numPr>
        <w:tabs>
          <w:tab w:val="left" w:pos="950"/>
        </w:tabs>
        <w:wordWrap w:val="0"/>
        <w:ind w:hanging="242"/>
        <w:rPr>
          <w:sz w:val="24"/>
        </w:rPr>
      </w:pPr>
      <w:r>
        <w:rPr>
          <w:sz w:val="24"/>
        </w:rPr>
        <w:t>因重大变故，采购任务取消的。</w:t>
      </w:r>
    </w:p>
    <w:p>
      <w:pPr>
        <w:wordWrap w:val="0"/>
        <w:spacing w:before="66"/>
        <w:ind w:left="710"/>
        <w:rPr>
          <w:rFonts w:ascii="Microsoft YaHei UI" w:eastAsia="Microsoft YaHei UI"/>
          <w:b/>
          <w:sz w:val="24"/>
        </w:rPr>
      </w:pPr>
      <w:r>
        <w:rPr>
          <w:rFonts w:hint="eastAsia" w:ascii="Microsoft YaHei UI" w:eastAsia="Microsoft YaHei UI"/>
          <w:b/>
          <w:sz w:val="24"/>
        </w:rPr>
        <w:t>（二十二）供应商不足三家情形处理</w:t>
      </w:r>
    </w:p>
    <w:p>
      <w:pPr>
        <w:pStyle w:val="2"/>
        <w:wordWrap w:val="0"/>
        <w:spacing w:before="80" w:line="343" w:lineRule="auto"/>
        <w:ind w:left="227" w:right="281" w:firstLine="480"/>
      </w:pPr>
      <w:r>
        <w:rPr>
          <w:spacing w:val="-11"/>
        </w:rPr>
        <w:t>市场竞争不充分的科研项目、需要扶持的科技成果转化项目以及政府购买服务项目</w:t>
      </w:r>
      <w:r>
        <w:t>（含</w:t>
      </w:r>
      <w:r>
        <w:rPr>
          <w:spacing w:val="-1"/>
        </w:rPr>
        <w:t>政府和社会资本合作项目</w:t>
      </w:r>
      <w:r>
        <w:rPr>
          <w:spacing w:val="-107"/>
        </w:rPr>
        <w:t>）</w:t>
      </w:r>
      <w:r>
        <w:rPr>
          <w:spacing w:val="-18"/>
        </w:rPr>
        <w:t xml:space="preserve">，磋商截止时间结束后，参加磋商活动的有效供应商仅有 </w:t>
      </w:r>
      <w:r>
        <w:t>2</w:t>
      </w:r>
      <w:r>
        <w:rPr>
          <w:spacing w:val="-15"/>
        </w:rPr>
        <w:t xml:space="preserve"> 家时，</w:t>
      </w:r>
      <w:r>
        <w:rPr>
          <w:spacing w:val="-117"/>
        </w:rPr>
        <w:t xml:space="preserve"> </w:t>
      </w:r>
      <w:r>
        <w:t>若磋商文件没有不合理条款、采购公告时间及程序符合规定、且符合法律法规和财政部文件规定情形的，采购人可继续进行磋商活动或宣布终止。</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（二十三）取消成交候选人资格条款</w:t>
      </w:r>
    </w:p>
    <w:p>
      <w:pPr>
        <w:pStyle w:val="14"/>
        <w:numPr>
          <w:ilvl w:val="0"/>
          <w:numId w:val="19"/>
        </w:numPr>
        <w:tabs>
          <w:tab w:val="left" w:pos="950"/>
        </w:tabs>
        <w:wordWrap w:val="0"/>
        <w:spacing w:before="77"/>
        <w:ind w:hanging="242"/>
        <w:rPr>
          <w:sz w:val="24"/>
        </w:rPr>
      </w:pPr>
      <w:r>
        <w:rPr>
          <w:sz w:val="24"/>
        </w:rPr>
        <w:t>提供虚假材料谋取成交的；</w:t>
      </w:r>
    </w:p>
    <w:p>
      <w:pPr>
        <w:pStyle w:val="14"/>
        <w:numPr>
          <w:ilvl w:val="0"/>
          <w:numId w:val="19"/>
        </w:numPr>
        <w:tabs>
          <w:tab w:val="left" w:pos="950"/>
        </w:tabs>
        <w:wordWrap w:val="0"/>
        <w:spacing w:before="134"/>
        <w:ind w:hanging="242"/>
        <w:rPr>
          <w:sz w:val="24"/>
        </w:rPr>
      </w:pPr>
      <w:r>
        <w:rPr>
          <w:sz w:val="24"/>
        </w:rPr>
        <w:t>采取不正当手段诋毁、排挤其他供应商的；</w:t>
      </w:r>
    </w:p>
    <w:p>
      <w:pPr>
        <w:pStyle w:val="14"/>
        <w:numPr>
          <w:ilvl w:val="0"/>
          <w:numId w:val="19"/>
        </w:numPr>
        <w:tabs>
          <w:tab w:val="left" w:pos="950"/>
        </w:tabs>
        <w:wordWrap w:val="0"/>
        <w:ind w:hanging="242"/>
        <w:rPr>
          <w:sz w:val="24"/>
        </w:rPr>
      </w:pPr>
      <w:r>
        <w:rPr>
          <w:spacing w:val="-1"/>
          <w:sz w:val="24"/>
        </w:rPr>
        <w:t>与采购人、其他供应商恶意串通的；</w:t>
      </w:r>
    </w:p>
    <w:p>
      <w:pPr>
        <w:pStyle w:val="14"/>
        <w:numPr>
          <w:ilvl w:val="0"/>
          <w:numId w:val="19"/>
        </w:numPr>
        <w:tabs>
          <w:tab w:val="left" w:pos="950"/>
        </w:tabs>
        <w:wordWrap w:val="0"/>
        <w:ind w:hanging="242"/>
        <w:rPr>
          <w:sz w:val="24"/>
        </w:rPr>
      </w:pPr>
      <w:r>
        <w:rPr>
          <w:sz w:val="24"/>
        </w:rPr>
        <w:t>向采购人行贿或者提供其他不正当利益的；</w:t>
      </w:r>
    </w:p>
    <w:p>
      <w:pPr>
        <w:pStyle w:val="14"/>
        <w:numPr>
          <w:ilvl w:val="0"/>
          <w:numId w:val="19"/>
        </w:numPr>
        <w:tabs>
          <w:tab w:val="left" w:pos="950"/>
        </w:tabs>
        <w:wordWrap w:val="0"/>
        <w:spacing w:before="134"/>
        <w:ind w:hanging="242"/>
        <w:rPr>
          <w:sz w:val="24"/>
        </w:rPr>
      </w:pPr>
      <w:r>
        <w:rPr>
          <w:sz w:val="24"/>
        </w:rPr>
        <w:t>在规定时间内未与采购人签订采购合同的；</w:t>
      </w:r>
    </w:p>
    <w:p>
      <w:pPr>
        <w:pStyle w:val="14"/>
        <w:numPr>
          <w:ilvl w:val="0"/>
          <w:numId w:val="19"/>
        </w:numPr>
        <w:tabs>
          <w:tab w:val="left" w:pos="950"/>
        </w:tabs>
        <w:wordWrap w:val="0"/>
        <w:ind w:hanging="242"/>
        <w:rPr>
          <w:sz w:val="24"/>
        </w:rPr>
      </w:pPr>
      <w:r>
        <w:rPr>
          <w:sz w:val="24"/>
        </w:rPr>
        <w:t>法律、法规规定的其他情况。</w:t>
      </w:r>
    </w:p>
    <w:p>
      <w:pPr>
        <w:wordWrap w:val="0"/>
        <w:spacing w:before="67"/>
        <w:ind w:left="710"/>
        <w:rPr>
          <w:rFonts w:ascii="Microsoft YaHei UI" w:eastAsia="Microsoft YaHei UI"/>
          <w:b/>
          <w:sz w:val="24"/>
        </w:rPr>
      </w:pPr>
      <w:r>
        <w:rPr>
          <w:rFonts w:hint="eastAsia" w:ascii="Microsoft YaHei UI" w:eastAsia="Microsoft YaHei UI"/>
          <w:b/>
          <w:sz w:val="24"/>
        </w:rPr>
        <w:t>（二十四）恶意串通响应的情形</w:t>
      </w:r>
    </w:p>
    <w:p>
      <w:pPr>
        <w:pStyle w:val="14"/>
        <w:numPr>
          <w:ilvl w:val="0"/>
          <w:numId w:val="20"/>
        </w:numPr>
        <w:tabs>
          <w:tab w:val="left" w:pos="950"/>
        </w:tabs>
        <w:wordWrap w:val="0"/>
        <w:spacing w:before="79"/>
        <w:ind w:hanging="242"/>
        <w:rPr>
          <w:sz w:val="24"/>
        </w:rPr>
      </w:pPr>
      <w:r>
        <w:rPr>
          <w:sz w:val="24"/>
        </w:rPr>
        <w:t>供应商直接或间接从采购人处获得其他供应商的响应情况，并修改其响应文件；</w:t>
      </w:r>
    </w:p>
    <w:p>
      <w:pPr>
        <w:pStyle w:val="14"/>
        <w:numPr>
          <w:ilvl w:val="0"/>
          <w:numId w:val="20"/>
        </w:numPr>
        <w:tabs>
          <w:tab w:val="left" w:pos="950"/>
        </w:tabs>
        <w:wordWrap w:val="0"/>
        <w:ind w:hanging="242"/>
        <w:rPr>
          <w:sz w:val="24"/>
        </w:rPr>
      </w:pPr>
      <w:r>
        <w:rPr>
          <w:sz w:val="24"/>
        </w:rPr>
        <w:t>评审活动开始前供应商直接或间接从采购人获得磋商小组组成人员情况；</w:t>
      </w:r>
    </w:p>
    <w:p>
      <w:pPr>
        <w:pStyle w:val="14"/>
        <w:numPr>
          <w:ilvl w:val="0"/>
          <w:numId w:val="20"/>
        </w:numPr>
        <w:tabs>
          <w:tab w:val="left" w:pos="950"/>
        </w:tabs>
        <w:wordWrap w:val="0"/>
        <w:ind w:hanging="242"/>
        <w:rPr>
          <w:sz w:val="24"/>
        </w:rPr>
      </w:pPr>
      <w:r>
        <w:rPr>
          <w:sz w:val="24"/>
        </w:rPr>
        <w:t>供应商私自接受采购人授意撤换、修改响应文件；</w:t>
      </w:r>
    </w:p>
    <w:p>
      <w:pPr>
        <w:pStyle w:val="14"/>
        <w:numPr>
          <w:ilvl w:val="0"/>
          <w:numId w:val="20"/>
        </w:numPr>
        <w:tabs>
          <w:tab w:val="left" w:pos="950"/>
        </w:tabs>
        <w:wordWrap w:val="0"/>
        <w:spacing w:before="134"/>
        <w:ind w:hanging="242"/>
        <w:rPr>
          <w:sz w:val="24"/>
        </w:rPr>
      </w:pPr>
      <w:r>
        <w:rPr>
          <w:sz w:val="24"/>
        </w:rPr>
        <w:t>供应商之间协商响应报价、技术方案等响应文件实质性内容；</w:t>
      </w:r>
    </w:p>
    <w:p>
      <w:pPr>
        <w:pStyle w:val="14"/>
        <w:numPr>
          <w:ilvl w:val="0"/>
          <w:numId w:val="20"/>
        </w:numPr>
        <w:tabs>
          <w:tab w:val="left" w:pos="951"/>
        </w:tabs>
        <w:wordWrap w:val="0"/>
        <w:spacing w:before="131"/>
        <w:ind w:left="950" w:hanging="243"/>
        <w:rPr>
          <w:sz w:val="24"/>
        </w:rPr>
      </w:pPr>
      <w:r>
        <w:rPr>
          <w:sz w:val="24"/>
        </w:rPr>
        <w:t>属于同一集团、协会、商会等组织成员的供应商按照该组织要求协同参与磋商活动</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的；</w:t>
      </w:r>
    </w:p>
    <w:p>
      <w:pPr>
        <w:pStyle w:val="14"/>
        <w:numPr>
          <w:ilvl w:val="0"/>
          <w:numId w:val="20"/>
        </w:numPr>
        <w:tabs>
          <w:tab w:val="left" w:pos="950"/>
        </w:tabs>
        <w:wordWrap w:val="0"/>
        <w:ind w:hanging="242"/>
        <w:rPr>
          <w:sz w:val="24"/>
        </w:rPr>
      </w:pPr>
      <w:r>
        <w:rPr>
          <w:sz w:val="24"/>
        </w:rPr>
        <w:t>供应商之间事先约定由某一特定供应商成交；</w:t>
      </w:r>
    </w:p>
    <w:p>
      <w:pPr>
        <w:pStyle w:val="14"/>
        <w:numPr>
          <w:ilvl w:val="0"/>
          <w:numId w:val="20"/>
        </w:numPr>
        <w:tabs>
          <w:tab w:val="left" w:pos="950"/>
        </w:tabs>
        <w:wordWrap w:val="0"/>
        <w:spacing w:before="131"/>
        <w:ind w:hanging="242"/>
        <w:rPr>
          <w:sz w:val="24"/>
        </w:rPr>
      </w:pPr>
      <w:r>
        <w:rPr>
          <w:sz w:val="24"/>
        </w:rPr>
        <w:t>供应商之间商定部分供应商放弃响应或者放弃成交；</w:t>
      </w:r>
    </w:p>
    <w:p>
      <w:pPr>
        <w:pStyle w:val="14"/>
        <w:numPr>
          <w:ilvl w:val="0"/>
          <w:numId w:val="20"/>
        </w:numPr>
        <w:tabs>
          <w:tab w:val="left" w:pos="951"/>
        </w:tabs>
        <w:wordWrap w:val="0"/>
        <w:spacing w:before="134"/>
        <w:ind w:left="950" w:hanging="243"/>
        <w:rPr>
          <w:sz w:val="24"/>
        </w:rPr>
      </w:pPr>
      <w:r>
        <w:rPr>
          <w:sz w:val="24"/>
        </w:rPr>
        <w:t>供应商与采购人之间、供应商相互之间为谋求特定供应商成交或排斥其他供应商的</w:t>
      </w:r>
    </w:p>
    <w:p>
      <w:pPr>
        <w:pStyle w:val="2"/>
        <w:wordWrap w:val="0"/>
        <w:spacing w:before="132"/>
        <w:ind w:left="227"/>
      </w:pPr>
      <w:r>
        <w:t>其他串通行为；</w:t>
      </w:r>
    </w:p>
    <w:p>
      <w:pPr>
        <w:pStyle w:val="14"/>
        <w:numPr>
          <w:ilvl w:val="0"/>
          <w:numId w:val="20"/>
        </w:numPr>
        <w:tabs>
          <w:tab w:val="left" w:pos="950"/>
        </w:tabs>
        <w:wordWrap w:val="0"/>
        <w:ind w:hanging="242"/>
        <w:rPr>
          <w:sz w:val="24"/>
        </w:rPr>
      </w:pPr>
      <w:r>
        <w:rPr>
          <w:sz w:val="24"/>
        </w:rPr>
        <w:t>不同供应商的响应文件由同一单位或者个人编制；</w:t>
      </w:r>
    </w:p>
    <w:p>
      <w:pPr>
        <w:pStyle w:val="14"/>
        <w:numPr>
          <w:ilvl w:val="0"/>
          <w:numId w:val="20"/>
        </w:numPr>
        <w:tabs>
          <w:tab w:val="left" w:pos="1070"/>
        </w:tabs>
        <w:wordWrap w:val="0"/>
        <w:spacing w:before="134"/>
        <w:ind w:left="1069" w:hanging="362"/>
        <w:rPr>
          <w:sz w:val="24"/>
        </w:rPr>
      </w:pPr>
      <w:r>
        <w:rPr>
          <w:sz w:val="24"/>
        </w:rPr>
        <w:t>不同供应商委托同一单位或者个人办理响应事宜；</w:t>
      </w:r>
    </w:p>
    <w:p>
      <w:pPr>
        <w:pStyle w:val="14"/>
        <w:numPr>
          <w:ilvl w:val="0"/>
          <w:numId w:val="20"/>
        </w:numPr>
        <w:tabs>
          <w:tab w:val="left" w:pos="1070"/>
        </w:tabs>
        <w:wordWrap w:val="0"/>
        <w:ind w:left="1069" w:hanging="362"/>
        <w:rPr>
          <w:sz w:val="24"/>
        </w:rPr>
      </w:pPr>
      <w:r>
        <w:rPr>
          <w:sz w:val="24"/>
        </w:rPr>
        <w:t>不同供应商的响应文件载明的项目管理成员或联系人为同一人；</w:t>
      </w:r>
    </w:p>
    <w:p>
      <w:pPr>
        <w:pStyle w:val="14"/>
        <w:numPr>
          <w:ilvl w:val="0"/>
          <w:numId w:val="20"/>
        </w:numPr>
        <w:tabs>
          <w:tab w:val="left" w:pos="1070"/>
        </w:tabs>
        <w:wordWrap w:val="0"/>
        <w:ind w:left="1069" w:hanging="362"/>
        <w:rPr>
          <w:sz w:val="24"/>
        </w:rPr>
      </w:pPr>
      <w:r>
        <w:rPr>
          <w:sz w:val="24"/>
        </w:rPr>
        <w:t>不同供应商的响应文件异常一致或者响应报价呈规律性差异；</w:t>
      </w:r>
    </w:p>
    <w:p>
      <w:pPr>
        <w:pStyle w:val="14"/>
        <w:numPr>
          <w:ilvl w:val="0"/>
          <w:numId w:val="20"/>
        </w:numPr>
        <w:tabs>
          <w:tab w:val="left" w:pos="1070"/>
        </w:tabs>
        <w:wordWrap w:val="0"/>
        <w:spacing w:before="134"/>
        <w:ind w:left="1069" w:hanging="362"/>
        <w:rPr>
          <w:sz w:val="24"/>
        </w:rPr>
      </w:pPr>
      <w:r>
        <w:rPr>
          <w:sz w:val="24"/>
        </w:rPr>
        <w:t>不同供应商的响应文件相互混装；</w:t>
      </w:r>
    </w:p>
    <w:p>
      <w:pPr>
        <w:pStyle w:val="2"/>
        <w:wordWrap w:val="0"/>
        <w:rPr>
          <w:sz w:val="20"/>
        </w:rPr>
      </w:pPr>
    </w:p>
    <w:p>
      <w:pPr>
        <w:wordWrap w:val="0"/>
        <w:rPr>
          <w:sz w:val="20"/>
        </w:rPr>
        <w:sectPr>
          <w:pgSz w:w="11910" w:h="16840"/>
          <w:pgMar w:top="1340" w:right="840" w:bottom="960" w:left="1020" w:header="877" w:footer="770" w:gutter="0"/>
          <w:cols w:space="720" w:num="1"/>
        </w:sectPr>
      </w:pPr>
    </w:p>
    <w:p>
      <w:pPr>
        <w:pStyle w:val="2"/>
        <w:wordWrap w:val="0"/>
      </w:pPr>
    </w:p>
    <w:p>
      <w:pPr>
        <w:pStyle w:val="2"/>
        <w:wordWrap w:val="0"/>
        <w:spacing w:before="12"/>
        <w:rPr>
          <w:sz w:val="29"/>
        </w:rPr>
      </w:pPr>
    </w:p>
    <w:p>
      <w:pPr>
        <w:wordWrap w:val="0"/>
        <w:ind w:left="710"/>
        <w:rPr>
          <w:rFonts w:ascii="Microsoft YaHei UI" w:eastAsia="Microsoft YaHei UI"/>
          <w:b/>
          <w:sz w:val="24"/>
        </w:rPr>
      </w:pPr>
      <w:r>
        <w:rPr>
          <w:rFonts w:hint="eastAsia" w:ascii="Microsoft YaHei UI" w:eastAsia="Microsoft YaHei UI"/>
          <w:b/>
          <w:sz w:val="24"/>
        </w:rPr>
        <w:t>（二十五）磋商小组</w:t>
      </w:r>
    </w:p>
    <w:p>
      <w:pPr>
        <w:wordWrap w:val="0"/>
        <w:spacing w:before="97"/>
        <w:ind w:left="388"/>
        <w:rPr>
          <w:rFonts w:ascii="Microsoft YaHei UI" w:eastAsia="Microsoft YaHei UI"/>
          <w:b/>
          <w:sz w:val="36"/>
        </w:rPr>
      </w:pPr>
      <w:bookmarkStart w:id="7" w:name="_TOC_250006"/>
      <w:r>
        <w:br w:type="column"/>
      </w:r>
      <w:bookmarkEnd w:id="7"/>
      <w:r>
        <w:rPr>
          <w:rFonts w:hint="eastAsia" w:ascii="Microsoft YaHei UI" w:eastAsia="Microsoft YaHei UI"/>
          <w:b/>
          <w:sz w:val="36"/>
        </w:rPr>
        <w:t>六、磋商程序及最终报价</w:t>
      </w:r>
    </w:p>
    <w:p>
      <w:pPr>
        <w:wordWrap w:val="0"/>
        <w:rPr>
          <w:rFonts w:ascii="Microsoft YaHei UI" w:eastAsia="Microsoft YaHei UI"/>
          <w:sz w:val="36"/>
        </w:rPr>
        <w:sectPr>
          <w:type w:val="continuous"/>
          <w:pgSz w:w="11910" w:h="16840"/>
          <w:pgMar w:top="1340" w:right="840" w:bottom="960" w:left="1020" w:header="720" w:footer="720" w:gutter="0"/>
          <w:cols w:equalWidth="0" w:num="2">
            <w:col w:w="2880" w:space="40"/>
            <w:col w:w="7130"/>
          </w:cols>
        </w:sectPr>
      </w:pPr>
    </w:p>
    <w:p>
      <w:pPr>
        <w:pStyle w:val="2"/>
        <w:wordWrap w:val="0"/>
        <w:spacing w:before="77" w:line="343" w:lineRule="auto"/>
        <w:ind w:left="227" w:right="406" w:firstLine="480"/>
      </w:pPr>
      <w:r>
        <w:t>采购人根据本项目的特点依法组建磋商小组。磋商小组独立完成磋商工作，负责对响应文件进行审查、质询、评审、磋商、推选成交候选人。</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（二十六）磋商原则</w:t>
      </w:r>
    </w:p>
    <w:p>
      <w:pPr>
        <w:pStyle w:val="2"/>
        <w:wordWrap w:val="0"/>
        <w:spacing w:before="78" w:line="343" w:lineRule="auto"/>
        <w:ind w:left="227" w:right="288" w:firstLine="600"/>
      </w:pPr>
      <w:r>
        <w:t>“公平、公正、客观、竞争”为磋商的基本原则，磋商小组将根据这一原则，公正、平等地对待各供应商。</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（二十七）磋商程序</w:t>
      </w:r>
    </w:p>
    <w:p>
      <w:pPr>
        <w:pStyle w:val="14"/>
        <w:numPr>
          <w:ilvl w:val="0"/>
          <w:numId w:val="21"/>
        </w:numPr>
        <w:tabs>
          <w:tab w:val="left" w:pos="1070"/>
        </w:tabs>
        <w:wordWrap w:val="0"/>
        <w:spacing w:before="77" w:line="343" w:lineRule="auto"/>
        <w:ind w:left="227" w:right="403" w:firstLine="480"/>
        <w:rPr>
          <w:sz w:val="24"/>
        </w:rPr>
      </w:pPr>
      <w:r>
        <w:rPr>
          <w:spacing w:val="-2"/>
          <w:sz w:val="24"/>
        </w:rPr>
        <w:t>采购人可以视项目具体情况，组织供应商进行现场考察或召开磋商前答疑会，但不</w:t>
      </w:r>
      <w:r>
        <w:rPr>
          <w:sz w:val="24"/>
        </w:rPr>
        <w:t>得单独或分别组织只有一个供应商参加的现场考察和答疑会。</w:t>
      </w:r>
    </w:p>
    <w:p>
      <w:pPr>
        <w:pStyle w:val="14"/>
        <w:numPr>
          <w:ilvl w:val="0"/>
          <w:numId w:val="21"/>
        </w:numPr>
        <w:tabs>
          <w:tab w:val="left" w:pos="1070"/>
        </w:tabs>
        <w:wordWrap w:val="0"/>
        <w:spacing w:before="1" w:line="343" w:lineRule="auto"/>
        <w:ind w:left="227" w:right="402" w:firstLine="480"/>
        <w:jc w:val="both"/>
        <w:rPr>
          <w:sz w:val="24"/>
        </w:rPr>
      </w:pPr>
      <w:r>
        <w:rPr>
          <w:spacing w:val="-2"/>
          <w:sz w:val="24"/>
        </w:rPr>
        <w:t>采购人按磋商文件规定的时间、地点组织磋商会议。磋商小组首先对各响应文件进</w:t>
      </w:r>
      <w:r>
        <w:rPr>
          <w:spacing w:val="-12"/>
          <w:sz w:val="24"/>
        </w:rPr>
        <w:t>行资格性审查和符合性审查，未通过审查的为无效响应。磋商小组判断响应文件的响应性，</w:t>
      </w:r>
      <w:r>
        <w:rPr>
          <w:spacing w:val="-118"/>
          <w:sz w:val="24"/>
        </w:rPr>
        <w:t xml:space="preserve"> </w:t>
      </w:r>
      <w:r>
        <w:rPr>
          <w:sz w:val="24"/>
        </w:rPr>
        <w:t>仅基于响应文件本身而不靠外部证据。对非实质性响应的响应文件，供应商不能通过修正或撤销不符之处，而使其成为实质性响应。</w:t>
      </w:r>
    </w:p>
    <w:p>
      <w:pPr>
        <w:pStyle w:val="2"/>
        <w:wordWrap w:val="0"/>
        <w:spacing w:before="1" w:line="343" w:lineRule="auto"/>
        <w:ind w:left="227" w:right="406" w:firstLine="480"/>
      </w:pPr>
      <w:r>
        <w:t>⑴资格性审查：磋商小组根据法律法规和磋商文件的规定，对响应文件的资格证明文件进行审查，以确定供应商是否具备竞争性磋商资格。</w:t>
      </w:r>
    </w:p>
    <w:p>
      <w:pPr>
        <w:pStyle w:val="2"/>
        <w:wordWrap w:val="0"/>
        <w:spacing w:before="2" w:line="343" w:lineRule="auto"/>
        <w:ind w:left="227" w:right="398" w:firstLine="480"/>
        <w:jc w:val="both"/>
      </w:pPr>
      <w:r>
        <w:t>⑵符合性审查：依据磋商文件的规定，从响应文件的有效性、完整性和对磋商文件的响应程度进行审查，以确定是否对磋商文件的要求作出了实质性的响应，存在重大偏离的响应文件为无效响应。所谓重大偏离是指供应商响应文件中所述主要货物种类、规格、参数等明显不能满足磋商文件要求。重大偏离的认定须经竞争性磋商小组三分之二以上组员同意。</w:t>
      </w:r>
    </w:p>
    <w:p>
      <w:pPr>
        <w:wordWrap w:val="0"/>
        <w:spacing w:line="343" w:lineRule="auto"/>
        <w:jc w:val="both"/>
        <w:sectPr>
          <w:type w:val="continuous"/>
          <w:pgSz w:w="11910" w:h="16840"/>
          <w:pgMar w:top="1340" w:right="840" w:bottom="960" w:left="1020" w:header="720" w:footer="720" w:gutter="0"/>
          <w:cols w:space="720" w:num="1"/>
        </w:sectPr>
      </w:pPr>
    </w:p>
    <w:p>
      <w:pPr>
        <w:pStyle w:val="14"/>
        <w:numPr>
          <w:ilvl w:val="0"/>
          <w:numId w:val="22"/>
        </w:numPr>
        <w:tabs>
          <w:tab w:val="left" w:pos="1070"/>
        </w:tabs>
        <w:wordWrap w:val="0"/>
        <w:spacing w:before="113"/>
        <w:ind w:hanging="362"/>
        <w:rPr>
          <w:sz w:val="24"/>
        </w:rPr>
      </w:pPr>
      <w:r>
        <w:rPr>
          <w:sz w:val="24"/>
        </w:rPr>
        <w:t>磋商小组根据磋商文件要求，讨论、通过磋商工作流程和磋商要点。</w:t>
      </w:r>
    </w:p>
    <w:p>
      <w:pPr>
        <w:pStyle w:val="14"/>
        <w:numPr>
          <w:ilvl w:val="0"/>
          <w:numId w:val="22"/>
        </w:numPr>
        <w:tabs>
          <w:tab w:val="left" w:pos="1070"/>
        </w:tabs>
        <w:wordWrap w:val="0"/>
        <w:spacing w:line="343" w:lineRule="auto"/>
        <w:ind w:left="227" w:right="403" w:firstLine="480"/>
        <w:rPr>
          <w:sz w:val="24"/>
        </w:rPr>
      </w:pPr>
      <w:r>
        <w:rPr>
          <w:sz w:val="24"/>
        </w:rPr>
        <w:t>围绕磋商要点，磋商小组全体成员集中与各有效供应商分别进行磋商。逐家磋商一次为一个轮次，磋商轮次原则上为一轮，具体由磋商小组视情况决定。</w:t>
      </w:r>
    </w:p>
    <w:p>
      <w:pPr>
        <w:pStyle w:val="14"/>
        <w:numPr>
          <w:ilvl w:val="0"/>
          <w:numId w:val="22"/>
        </w:numPr>
        <w:tabs>
          <w:tab w:val="left" w:pos="951"/>
        </w:tabs>
        <w:wordWrap w:val="0"/>
        <w:spacing w:before="1" w:line="343" w:lineRule="auto"/>
        <w:ind w:left="227" w:right="399" w:firstLine="480"/>
        <w:jc w:val="both"/>
        <w:rPr>
          <w:sz w:val="24"/>
        </w:rPr>
      </w:pPr>
      <w:r>
        <w:rPr>
          <w:sz w:val="24"/>
        </w:rPr>
        <w:t>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字或加盖公章。</w:t>
      </w:r>
    </w:p>
    <w:p>
      <w:pPr>
        <w:pStyle w:val="2"/>
        <w:wordWrap w:val="0"/>
        <w:spacing w:line="343" w:lineRule="auto"/>
        <w:ind w:left="227" w:right="403" w:firstLine="480"/>
        <w:jc w:val="right"/>
      </w:pPr>
      <w:r>
        <w:t>报价一览表中大、小写应一致，如出现不一致情况的，以大写为准。报价一览表内容</w:t>
      </w:r>
      <w:r>
        <w:rPr>
          <w:spacing w:val="-11"/>
        </w:rPr>
        <w:t>与分项报价表内容应一致。如出现不一致情况，以报价一览表内容为准，修正分项报价表。</w:t>
      </w:r>
      <w:r>
        <w:t>5</w:t>
      </w:r>
      <w:r>
        <w:rPr>
          <w:spacing w:val="-8"/>
        </w:rPr>
        <w:t>．在磋商过程中，磋商小组可以根据磋商文件和磋商情况实质性变动采购需求中的技</w:t>
      </w:r>
    </w:p>
    <w:p>
      <w:pPr>
        <w:pStyle w:val="2"/>
        <w:wordWrap w:val="0"/>
        <w:spacing w:before="2"/>
        <w:ind w:left="227"/>
      </w:pPr>
      <w:r>
        <w:t>术、服务要求以及合同草案条款，但不得变动磋商文件中的其他内容。</w:t>
      </w:r>
    </w:p>
    <w:p>
      <w:pPr>
        <w:pStyle w:val="2"/>
        <w:wordWrap w:val="0"/>
        <w:spacing w:before="131" w:line="345" w:lineRule="auto"/>
        <w:ind w:left="227" w:right="401" w:firstLine="480"/>
      </w:pPr>
      <w:r>
        <w:t>对磋商文件作出的实质性变动是磋商文件的有效组成部分，磋商小组应当及时以书面形式同时通知所有参加磋商的供应商。</w:t>
      </w:r>
    </w:p>
    <w:p>
      <w:pPr>
        <w:pStyle w:val="2"/>
        <w:wordWrap w:val="0"/>
        <w:spacing w:line="343" w:lineRule="auto"/>
        <w:ind w:left="227" w:right="406" w:firstLine="480"/>
      </w:pPr>
      <w:r>
        <w:t>供应商应当按照磋商文件的变动情况和磋商小组的要求重新递交书面响应，并由其法定代表人或其授权代表签字或加盖公章。</w:t>
      </w:r>
    </w:p>
    <w:p>
      <w:pPr>
        <w:pStyle w:val="2"/>
        <w:wordWrap w:val="0"/>
        <w:spacing w:line="343" w:lineRule="auto"/>
        <w:ind w:left="227" w:right="403" w:firstLine="480"/>
        <w:jc w:val="both"/>
      </w:pPr>
      <w:r>
        <w:rPr>
          <w:spacing w:val="-2"/>
        </w:rPr>
        <w:t>6．磋商结束后，所有实质性响应的供应商在规定时间内递交最后报价。最后报价是供</w:t>
      </w:r>
      <w:r>
        <w:t>应商响应文件的有效组成部分。供应商未及时参与磋商或多轮报价的，视为自动放弃磋商资格。</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（二十八）最终报价</w:t>
      </w:r>
    </w:p>
    <w:p>
      <w:pPr>
        <w:pStyle w:val="14"/>
        <w:numPr>
          <w:ilvl w:val="0"/>
          <w:numId w:val="23"/>
        </w:numPr>
        <w:tabs>
          <w:tab w:val="left" w:pos="1070"/>
        </w:tabs>
        <w:wordWrap w:val="0"/>
        <w:spacing w:before="74" w:line="343" w:lineRule="auto"/>
        <w:ind w:left="227" w:right="403" w:firstLine="480"/>
        <w:rPr>
          <w:sz w:val="24"/>
        </w:rPr>
      </w:pPr>
      <w:r>
        <w:rPr>
          <w:sz w:val="24"/>
        </w:rPr>
        <w:t>磋商结束后，磋商小组将要求所有有效响应供应商在规定时间内确定最终报价及服务承诺，最终报价是响应文件的有效组成部分，作为评审的依据。</w:t>
      </w:r>
    </w:p>
    <w:p>
      <w:pPr>
        <w:pStyle w:val="14"/>
        <w:numPr>
          <w:ilvl w:val="0"/>
          <w:numId w:val="23"/>
        </w:numPr>
        <w:tabs>
          <w:tab w:val="left" w:pos="1070"/>
        </w:tabs>
        <w:wordWrap w:val="0"/>
        <w:spacing w:before="1"/>
        <w:ind w:left="1069" w:hanging="362"/>
        <w:rPr>
          <w:sz w:val="24"/>
        </w:rPr>
      </w:pPr>
      <w:r>
        <w:rPr>
          <w:spacing w:val="-1"/>
          <w:sz w:val="24"/>
        </w:rPr>
        <w:t>参与二轮(多轮)报价及服务承诺的人员须是响应单位法定代表人或其授权代表。</w:t>
      </w:r>
    </w:p>
    <w:p>
      <w:pPr>
        <w:pStyle w:val="14"/>
        <w:numPr>
          <w:ilvl w:val="0"/>
          <w:numId w:val="23"/>
        </w:numPr>
        <w:tabs>
          <w:tab w:val="left" w:pos="1070"/>
        </w:tabs>
        <w:wordWrap w:val="0"/>
        <w:ind w:left="1069" w:hanging="362"/>
        <w:rPr>
          <w:sz w:val="24"/>
        </w:rPr>
      </w:pPr>
      <w:r>
        <w:rPr>
          <w:sz w:val="24"/>
        </w:rPr>
        <w:t>本项目预算价为最高限价，高于此限价的响应文件将做为无效响应处理。</w:t>
      </w:r>
    </w:p>
    <w:p>
      <w:pPr>
        <w:pStyle w:val="14"/>
        <w:numPr>
          <w:ilvl w:val="0"/>
          <w:numId w:val="23"/>
        </w:numPr>
        <w:tabs>
          <w:tab w:val="left" w:pos="1070"/>
        </w:tabs>
        <w:wordWrap w:val="0"/>
        <w:spacing w:line="343" w:lineRule="auto"/>
        <w:ind w:left="227" w:right="283" w:firstLine="480"/>
        <w:rPr>
          <w:sz w:val="24"/>
        </w:rPr>
      </w:pPr>
      <w:r>
        <w:rPr>
          <w:spacing w:val="-5"/>
          <w:sz w:val="24"/>
        </w:rPr>
        <w:t>供应商在首次响应文件中的报价为首轮报价。在采购内容和采购需求不变的情况下</w:t>
      </w:r>
      <w:r>
        <w:rPr>
          <w:sz w:val="24"/>
        </w:rPr>
        <w:t>，供应商每轮报价均不得高于首次报价，否则，作无效响应处理。供应商分项报价按首轮报价与最终报价调整比例进行同比调整。</w:t>
      </w:r>
    </w:p>
    <w:p>
      <w:pPr>
        <w:wordWrap w:val="0"/>
        <w:spacing w:line="364" w:lineRule="exact"/>
        <w:ind w:left="710"/>
        <w:rPr>
          <w:rFonts w:ascii="Microsoft YaHei UI" w:eastAsia="Microsoft YaHei UI"/>
          <w:b/>
          <w:sz w:val="24"/>
        </w:rPr>
      </w:pPr>
      <w:r>
        <w:rPr>
          <w:rFonts w:hint="eastAsia" w:ascii="Microsoft YaHei UI" w:eastAsia="Microsoft YaHei UI"/>
          <w:b/>
          <w:sz w:val="24"/>
        </w:rPr>
        <w:t>（二十九）推荐成交候选人</w:t>
      </w:r>
    </w:p>
    <w:p>
      <w:pPr>
        <w:pStyle w:val="2"/>
        <w:wordWrap w:val="0"/>
        <w:spacing w:before="79" w:line="343" w:lineRule="auto"/>
        <w:ind w:left="227" w:right="406" w:firstLine="480"/>
        <w:jc w:val="both"/>
      </w:pPr>
      <w:r>
        <w:t>在满足磋商文件全部实质性要求的前提下，磋商小组按磋商文件规定的评审办法推荐3</w:t>
      </w:r>
      <w:r>
        <w:rPr>
          <w:spacing w:val="-9"/>
        </w:rPr>
        <w:t xml:space="preserve"> 名成交候选人</w:t>
      </w:r>
      <w:r>
        <w:t>（</w:t>
      </w:r>
      <w:r>
        <w:rPr>
          <w:spacing w:val="-4"/>
        </w:rPr>
        <w:t xml:space="preserve">符合供应商须知二十二条情形的推荐 </w:t>
      </w:r>
      <w:r>
        <w:t>2</w:t>
      </w:r>
      <w:r>
        <w:rPr>
          <w:spacing w:val="-9"/>
        </w:rPr>
        <w:t xml:space="preserve"> 名成交候选人</w:t>
      </w:r>
      <w:r>
        <w:rPr>
          <w:spacing w:val="-120"/>
        </w:rPr>
        <w:t>）</w:t>
      </w:r>
      <w:r>
        <w:t>。</w:t>
      </w:r>
    </w:p>
    <w:p>
      <w:pPr>
        <w:wordWrap w:val="0"/>
        <w:spacing w:line="361" w:lineRule="exact"/>
        <w:ind w:left="710"/>
        <w:rPr>
          <w:rFonts w:ascii="Microsoft YaHei UI" w:eastAsia="Microsoft YaHei UI"/>
          <w:b/>
          <w:sz w:val="24"/>
        </w:rPr>
      </w:pPr>
      <w:r>
        <w:rPr>
          <w:rFonts w:hint="eastAsia" w:ascii="Microsoft YaHei UI" w:eastAsia="Microsoft YaHei UI"/>
          <w:b/>
          <w:sz w:val="24"/>
        </w:rPr>
        <w:t>（三十）磋商过程保密</w:t>
      </w:r>
    </w:p>
    <w:p>
      <w:pPr>
        <w:pStyle w:val="14"/>
        <w:numPr>
          <w:ilvl w:val="0"/>
          <w:numId w:val="24"/>
        </w:numPr>
        <w:tabs>
          <w:tab w:val="left" w:pos="1070"/>
        </w:tabs>
        <w:wordWrap w:val="0"/>
        <w:spacing w:before="80" w:line="343" w:lineRule="auto"/>
        <w:ind w:left="227" w:right="403" w:firstLine="480"/>
        <w:jc w:val="right"/>
        <w:rPr>
          <w:sz w:val="24"/>
        </w:rPr>
      </w:pPr>
      <w:r>
        <w:rPr>
          <w:spacing w:val="-2"/>
          <w:sz w:val="24"/>
        </w:rPr>
        <w:t>在宣布成交结果之前，凡属于审查、澄清、评价、比较等有关信息，相关当事人均</w:t>
      </w:r>
      <w:r>
        <w:rPr>
          <w:sz w:val="24"/>
        </w:rPr>
        <w:t>不得泄露。评审过程中获悉的国家秘密、商业秘密，磋商小组以及与评审工作有关的人员</w:t>
      </w:r>
    </w:p>
    <w:p>
      <w:pPr>
        <w:wordWrap w:val="0"/>
        <w:spacing w:line="343" w:lineRule="auto"/>
        <w:jc w:val="right"/>
        <w:rPr>
          <w:sz w:val="24"/>
        </w:rPr>
        <w:sectPr>
          <w:pgSz w:w="11910" w:h="16840"/>
          <w:pgMar w:top="1340" w:right="840" w:bottom="960" w:left="1020" w:header="877" w:footer="770" w:gutter="0"/>
          <w:cols w:space="720" w:num="1"/>
        </w:sectPr>
      </w:pPr>
    </w:p>
    <w:p>
      <w:pPr>
        <w:pStyle w:val="2"/>
        <w:wordWrap w:val="0"/>
        <w:spacing w:before="113"/>
        <w:ind w:left="227"/>
      </w:pPr>
      <w:r>
        <w:t>负有保密责任。</w:t>
      </w:r>
    </w:p>
    <w:p>
      <w:pPr>
        <w:pStyle w:val="14"/>
        <w:numPr>
          <w:ilvl w:val="0"/>
          <w:numId w:val="24"/>
        </w:numPr>
        <w:tabs>
          <w:tab w:val="left" w:pos="1070"/>
        </w:tabs>
        <w:wordWrap w:val="0"/>
        <w:spacing w:line="343" w:lineRule="auto"/>
        <w:ind w:left="227" w:right="400" w:firstLine="480"/>
        <w:rPr>
          <w:sz w:val="24"/>
        </w:rPr>
      </w:pPr>
      <w:r>
        <w:rPr>
          <w:sz w:val="24"/>
        </w:rPr>
        <w:t>供应商不得探听上述信息，不得以任何行为影响磋商过程，否则其响应文件将被作为无效响应。</w:t>
      </w:r>
    </w:p>
    <w:p>
      <w:pPr>
        <w:pStyle w:val="14"/>
        <w:numPr>
          <w:ilvl w:val="0"/>
          <w:numId w:val="24"/>
        </w:numPr>
        <w:tabs>
          <w:tab w:val="left" w:pos="1070"/>
        </w:tabs>
        <w:wordWrap w:val="0"/>
        <w:spacing w:before="1"/>
        <w:ind w:left="1069" w:hanging="362"/>
        <w:rPr>
          <w:sz w:val="24"/>
        </w:rPr>
      </w:pPr>
      <w:r>
        <w:rPr>
          <w:sz w:val="24"/>
        </w:rPr>
        <w:t>在磋商期间，采购人有专门工作人员与供应商进行联络。</w:t>
      </w:r>
    </w:p>
    <w:p>
      <w:pPr>
        <w:pStyle w:val="14"/>
        <w:numPr>
          <w:ilvl w:val="0"/>
          <w:numId w:val="24"/>
        </w:numPr>
        <w:tabs>
          <w:tab w:val="left" w:pos="1070"/>
        </w:tabs>
        <w:wordWrap w:val="0"/>
        <w:spacing w:line="343" w:lineRule="auto"/>
        <w:ind w:left="227" w:right="403" w:firstLine="480"/>
        <w:rPr>
          <w:sz w:val="24"/>
        </w:rPr>
      </w:pPr>
      <w:r>
        <w:rPr>
          <w:sz w:val="24"/>
        </w:rPr>
        <w:t>磋商小组不向未成交的供应商解释未成交原因，也不对磋商过程中的细节问题进行公布。</w:t>
      </w:r>
    </w:p>
    <w:p>
      <w:pPr>
        <w:pStyle w:val="2"/>
        <w:wordWrap w:val="0"/>
        <w:spacing w:before="2"/>
        <w:rPr>
          <w:sz w:val="21"/>
        </w:rPr>
      </w:pPr>
    </w:p>
    <w:p>
      <w:pPr>
        <w:wordWrap w:val="0"/>
        <w:rPr>
          <w:sz w:val="21"/>
        </w:rPr>
        <w:sectPr>
          <w:pgSz w:w="11910" w:h="16840"/>
          <w:pgMar w:top="1340" w:right="840" w:bottom="960" w:left="1020" w:header="877" w:footer="770" w:gutter="0"/>
          <w:cols w:space="720" w:num="1"/>
        </w:sectPr>
      </w:pPr>
    </w:p>
    <w:p>
      <w:pPr>
        <w:pStyle w:val="2"/>
        <w:wordWrap w:val="0"/>
      </w:pPr>
    </w:p>
    <w:p>
      <w:pPr>
        <w:pStyle w:val="2"/>
        <w:wordWrap w:val="0"/>
        <w:spacing w:before="6"/>
        <w:rPr>
          <w:sz w:val="18"/>
        </w:rPr>
      </w:pPr>
    </w:p>
    <w:p>
      <w:pPr>
        <w:wordWrap w:val="0"/>
        <w:ind w:left="710"/>
        <w:rPr>
          <w:rFonts w:ascii="Microsoft YaHei UI" w:eastAsia="Microsoft YaHei UI"/>
          <w:b/>
          <w:sz w:val="24"/>
        </w:rPr>
      </w:pPr>
      <w:r>
        <w:rPr>
          <w:rFonts w:hint="eastAsia" w:ascii="Microsoft YaHei UI" w:eastAsia="Microsoft YaHei UI"/>
          <w:b/>
          <w:sz w:val="24"/>
        </w:rPr>
        <w:t>（三十一）确认成交供应商</w:t>
      </w:r>
    </w:p>
    <w:p>
      <w:pPr>
        <w:wordWrap w:val="0"/>
        <w:spacing w:line="593" w:lineRule="exact"/>
        <w:ind w:left="26"/>
        <w:rPr>
          <w:rFonts w:ascii="Microsoft YaHei UI" w:eastAsia="Microsoft YaHei UI"/>
          <w:b/>
          <w:sz w:val="36"/>
        </w:rPr>
      </w:pPr>
      <w:bookmarkStart w:id="8" w:name="_TOC_250005"/>
      <w:r>
        <w:br w:type="column"/>
      </w:r>
      <w:bookmarkEnd w:id="8"/>
      <w:r>
        <w:rPr>
          <w:rFonts w:hint="eastAsia" w:ascii="Microsoft YaHei UI" w:eastAsia="Microsoft YaHei UI"/>
          <w:b/>
          <w:sz w:val="36"/>
        </w:rPr>
        <w:t>七、成交及合同签订</w:t>
      </w:r>
    </w:p>
    <w:p>
      <w:pPr>
        <w:wordWrap w:val="0"/>
        <w:spacing w:line="593" w:lineRule="exact"/>
        <w:rPr>
          <w:rFonts w:ascii="Microsoft YaHei UI" w:eastAsia="Microsoft YaHei UI"/>
          <w:sz w:val="36"/>
        </w:rPr>
        <w:sectPr>
          <w:type w:val="continuous"/>
          <w:pgSz w:w="11910" w:h="16840"/>
          <w:pgMar w:top="1340" w:right="840" w:bottom="960" w:left="1020" w:header="720" w:footer="720" w:gutter="0"/>
          <w:cols w:equalWidth="0" w:num="2">
            <w:col w:w="3602" w:space="40"/>
            <w:col w:w="6408"/>
          </w:cols>
        </w:sectPr>
      </w:pPr>
    </w:p>
    <w:p>
      <w:pPr>
        <w:pStyle w:val="2"/>
        <w:wordWrap w:val="0"/>
        <w:spacing w:before="79"/>
        <w:ind w:left="708"/>
      </w:pPr>
      <w:r>
        <w:t>采购人从评审报告推荐的成交候选人中，按照顺序确定成交供应商。</w:t>
      </w:r>
    </w:p>
    <w:p>
      <w:pPr>
        <w:wordWrap w:val="0"/>
        <w:spacing w:before="67"/>
        <w:ind w:left="710"/>
        <w:rPr>
          <w:rFonts w:ascii="Microsoft YaHei UI" w:eastAsia="Microsoft YaHei UI"/>
          <w:b/>
          <w:sz w:val="24"/>
        </w:rPr>
      </w:pPr>
      <w:r>
        <w:rPr>
          <w:rFonts w:hint="eastAsia" w:ascii="Microsoft YaHei UI" w:eastAsia="Microsoft YaHei UI"/>
          <w:b/>
          <w:sz w:val="24"/>
        </w:rPr>
        <w:t>（三十一）标后审查</w:t>
      </w:r>
    </w:p>
    <w:p>
      <w:pPr>
        <w:pStyle w:val="14"/>
        <w:numPr>
          <w:ilvl w:val="0"/>
          <w:numId w:val="25"/>
        </w:numPr>
        <w:tabs>
          <w:tab w:val="left" w:pos="1070"/>
        </w:tabs>
        <w:wordWrap w:val="0"/>
        <w:spacing w:before="77" w:line="343" w:lineRule="auto"/>
        <w:ind w:left="227" w:right="403" w:firstLine="480"/>
        <w:jc w:val="both"/>
        <w:rPr>
          <w:sz w:val="24"/>
        </w:rPr>
      </w:pPr>
      <w:r>
        <w:rPr>
          <w:sz w:val="24"/>
        </w:rPr>
        <w:t>采购人将在签订合同前对成交候选人是否能圆满地履行合同进行审查。审查包括成交候选人响应文件中提供的所有资格证明材料原件，成交候选人响应文件及补充承诺中涉及的其他相关资料原件，以及对本项目实施可能存在风险的其他因素。</w:t>
      </w:r>
    </w:p>
    <w:p>
      <w:pPr>
        <w:pStyle w:val="14"/>
        <w:numPr>
          <w:ilvl w:val="0"/>
          <w:numId w:val="25"/>
        </w:numPr>
        <w:tabs>
          <w:tab w:val="left" w:pos="1070"/>
        </w:tabs>
        <w:wordWrap w:val="0"/>
        <w:spacing w:before="1" w:line="343" w:lineRule="auto"/>
        <w:ind w:left="227" w:right="403" w:firstLine="480"/>
        <w:jc w:val="both"/>
        <w:rPr>
          <w:sz w:val="24"/>
        </w:rPr>
      </w:pPr>
      <w:r>
        <w:rPr>
          <w:sz w:val="24"/>
        </w:rPr>
        <w:t>采购人若发现成交候选人在响应过程中提供虚假证明文件，故意隐瞒公司不良信誉和财务状况，以及存在可能对合同圆满履行造成风险的其他因素等，则按规定取消其成交资格，监管部门依法进行处罚。</w:t>
      </w:r>
    </w:p>
    <w:p>
      <w:pPr>
        <w:wordWrap w:val="0"/>
        <w:spacing w:line="363" w:lineRule="exact"/>
        <w:ind w:left="710"/>
        <w:rPr>
          <w:rFonts w:ascii="Microsoft YaHei UI" w:eastAsia="Microsoft YaHei UI"/>
          <w:b/>
          <w:sz w:val="24"/>
        </w:rPr>
      </w:pPr>
      <w:r>
        <w:rPr>
          <w:rFonts w:hint="eastAsia" w:ascii="Microsoft YaHei UI" w:eastAsia="Microsoft YaHei UI"/>
          <w:b/>
          <w:sz w:val="24"/>
        </w:rPr>
        <w:t>（三十二）成交通知</w:t>
      </w:r>
    </w:p>
    <w:p>
      <w:pPr>
        <w:pStyle w:val="2"/>
        <w:wordWrap w:val="0"/>
        <w:spacing w:before="80"/>
        <w:ind w:left="708"/>
      </w:pPr>
      <w:r>
        <w:t>采购人按规定将成交结果在信息媒体上发布，同时向成交供应商发出成交通知书。</w:t>
      </w:r>
    </w:p>
    <w:p>
      <w:pPr>
        <w:wordWrap w:val="0"/>
        <w:spacing w:before="67"/>
        <w:ind w:left="710"/>
        <w:rPr>
          <w:rFonts w:ascii="Microsoft YaHei UI" w:eastAsia="Microsoft YaHei UI"/>
          <w:b/>
          <w:sz w:val="24"/>
        </w:rPr>
      </w:pPr>
      <w:r>
        <w:rPr>
          <w:rFonts w:hint="eastAsia" w:ascii="Microsoft YaHei UI" w:eastAsia="Microsoft YaHei UI"/>
          <w:b/>
          <w:sz w:val="24"/>
        </w:rPr>
        <w:t>（三十三）签订合同</w:t>
      </w:r>
    </w:p>
    <w:p>
      <w:pPr>
        <w:pStyle w:val="14"/>
        <w:numPr>
          <w:ilvl w:val="0"/>
          <w:numId w:val="26"/>
        </w:numPr>
        <w:tabs>
          <w:tab w:val="left" w:pos="1070"/>
        </w:tabs>
        <w:wordWrap w:val="0"/>
        <w:spacing w:before="77" w:line="343" w:lineRule="auto"/>
        <w:ind w:left="227" w:right="402" w:firstLine="480"/>
        <w:jc w:val="both"/>
        <w:rPr>
          <w:sz w:val="24"/>
        </w:rPr>
      </w:pPr>
      <w:r>
        <w:rPr>
          <w:spacing w:val="-3"/>
          <w:sz w:val="24"/>
        </w:rPr>
        <w:t xml:space="preserve">成交供应商与采购人应当在成交通知书发出之日起 </w:t>
      </w:r>
      <w:r>
        <w:rPr>
          <w:sz w:val="24"/>
        </w:rPr>
        <w:t>30</w:t>
      </w:r>
      <w:r>
        <w:rPr>
          <w:spacing w:val="-6"/>
          <w:sz w:val="24"/>
        </w:rPr>
        <w:t xml:space="preserve"> 日内签订采购合同，磋商文</w:t>
      </w:r>
      <w:r>
        <w:rPr>
          <w:sz w:val="24"/>
        </w:rPr>
        <w:t>件、成交供应商的响应文件、分次报价及服务承诺文件以及磋商过程中有关澄清文件均作为合同附件。</w:t>
      </w:r>
    </w:p>
    <w:p>
      <w:pPr>
        <w:pStyle w:val="14"/>
        <w:numPr>
          <w:ilvl w:val="0"/>
          <w:numId w:val="26"/>
        </w:numPr>
        <w:tabs>
          <w:tab w:val="left" w:pos="1070"/>
        </w:tabs>
        <w:wordWrap w:val="0"/>
        <w:spacing w:before="1" w:line="343" w:lineRule="auto"/>
        <w:ind w:left="227" w:right="403" w:firstLine="480"/>
        <w:jc w:val="both"/>
        <w:rPr>
          <w:sz w:val="24"/>
        </w:rPr>
      </w:pPr>
      <w:r>
        <w:rPr>
          <w:sz w:val="24"/>
        </w:rPr>
        <w:t>成交人无正当理由拒绝在规定时间内与采购人签订合同的，采购人有权建议取消其成交资格，监管部门将对其依法处理。拒绝签订合同的成交供应商不得参加对该项目重新开展的采购活动。</w:t>
      </w:r>
    </w:p>
    <w:p>
      <w:pPr>
        <w:pStyle w:val="2"/>
        <w:wordWrap w:val="0"/>
        <w:spacing w:before="4"/>
        <w:rPr>
          <w:sz w:val="21"/>
        </w:rPr>
      </w:pPr>
    </w:p>
    <w:p>
      <w:pPr>
        <w:wordWrap w:val="0"/>
        <w:rPr>
          <w:sz w:val="21"/>
        </w:rPr>
        <w:sectPr>
          <w:type w:val="continuous"/>
          <w:pgSz w:w="11910" w:h="16840"/>
          <w:pgMar w:top="1340" w:right="840" w:bottom="960" w:left="1020" w:header="720" w:footer="720" w:gutter="0"/>
          <w:cols w:space="720" w:num="1"/>
        </w:sectPr>
      </w:pPr>
    </w:p>
    <w:p>
      <w:pPr>
        <w:pStyle w:val="2"/>
        <w:wordWrap w:val="0"/>
      </w:pPr>
    </w:p>
    <w:p>
      <w:pPr>
        <w:pStyle w:val="2"/>
        <w:wordWrap w:val="0"/>
        <w:spacing w:before="6"/>
        <w:rPr>
          <w:sz w:val="18"/>
        </w:rPr>
      </w:pPr>
    </w:p>
    <w:p>
      <w:pPr>
        <w:wordWrap w:val="0"/>
        <w:ind w:left="710"/>
        <w:rPr>
          <w:rFonts w:ascii="Microsoft YaHei UI" w:eastAsia="Microsoft YaHei UI"/>
          <w:b/>
          <w:sz w:val="24"/>
        </w:rPr>
      </w:pPr>
      <w:r>
        <w:rPr>
          <w:rFonts w:hint="eastAsia" w:ascii="Microsoft YaHei UI" w:eastAsia="Microsoft YaHei UI"/>
          <w:b/>
          <w:sz w:val="24"/>
        </w:rPr>
        <w:t>（三十四）验收</w:t>
      </w:r>
    </w:p>
    <w:p>
      <w:pPr>
        <w:wordWrap w:val="0"/>
        <w:spacing w:line="593" w:lineRule="exact"/>
        <w:ind w:left="710"/>
        <w:rPr>
          <w:rFonts w:ascii="Microsoft YaHei UI" w:eastAsia="Microsoft YaHei UI"/>
          <w:b/>
          <w:sz w:val="36"/>
        </w:rPr>
      </w:pPr>
      <w:bookmarkStart w:id="9" w:name="_TOC_250004"/>
      <w:r>
        <w:br w:type="column"/>
      </w:r>
      <w:bookmarkEnd w:id="9"/>
      <w:r>
        <w:rPr>
          <w:rFonts w:hint="eastAsia" w:ascii="Microsoft YaHei UI" w:eastAsia="Microsoft YaHei UI"/>
          <w:b/>
          <w:sz w:val="36"/>
        </w:rPr>
        <w:t>八、验收及付款</w:t>
      </w:r>
    </w:p>
    <w:p>
      <w:pPr>
        <w:wordWrap w:val="0"/>
        <w:spacing w:line="593" w:lineRule="exact"/>
        <w:rPr>
          <w:rFonts w:ascii="Microsoft YaHei UI" w:eastAsia="Microsoft YaHei UI"/>
          <w:sz w:val="36"/>
        </w:rPr>
        <w:sectPr>
          <w:type w:val="continuous"/>
          <w:pgSz w:w="11910" w:h="16840"/>
          <w:pgMar w:top="1340" w:right="840" w:bottom="960" w:left="1020" w:header="720" w:footer="720" w:gutter="0"/>
          <w:cols w:equalWidth="0" w:num="2">
            <w:col w:w="2438" w:space="882"/>
            <w:col w:w="6730"/>
          </w:cols>
        </w:sectPr>
      </w:pPr>
    </w:p>
    <w:p>
      <w:pPr>
        <w:pStyle w:val="2"/>
        <w:wordWrap w:val="0"/>
        <w:spacing w:before="77"/>
        <w:ind w:left="708"/>
      </w:pPr>
      <w:r>
        <w:t>采购人组建验收小组，按照采购合同的约定组织验收，并出具验收报告。</w:t>
      </w:r>
    </w:p>
    <w:p>
      <w:pPr>
        <w:wordWrap w:val="0"/>
        <w:spacing w:before="69"/>
        <w:ind w:left="710"/>
        <w:rPr>
          <w:rFonts w:ascii="Microsoft YaHei UI" w:eastAsia="Microsoft YaHei UI"/>
          <w:b/>
          <w:sz w:val="24"/>
        </w:rPr>
      </w:pPr>
      <w:r>
        <w:rPr>
          <w:rFonts w:hint="eastAsia" w:ascii="Microsoft YaHei UI" w:eastAsia="Microsoft YaHei UI"/>
          <w:b/>
          <w:sz w:val="24"/>
        </w:rPr>
        <w:t>（三十五）付款</w:t>
      </w:r>
    </w:p>
    <w:p>
      <w:pPr>
        <w:pStyle w:val="2"/>
        <w:wordWrap w:val="0"/>
        <w:spacing w:before="77"/>
        <w:ind w:left="708"/>
      </w:pPr>
      <w:r>
        <w:t>按照竞争性磋商文件和合同约定的付款方式办理付款。</w:t>
      </w:r>
    </w:p>
    <w:p>
      <w:pPr>
        <w:wordWrap w:val="0"/>
        <w:sectPr>
          <w:type w:val="continuous"/>
          <w:pgSz w:w="11910" w:h="16840"/>
          <w:pgMar w:top="1340" w:right="840" w:bottom="960" w:left="1020" w:header="720" w:footer="720" w:gutter="0"/>
          <w:cols w:space="720" w:num="1"/>
        </w:sectPr>
      </w:pPr>
    </w:p>
    <w:p>
      <w:pPr>
        <w:pStyle w:val="2"/>
        <w:wordWrap w:val="0"/>
        <w:spacing w:before="11"/>
        <w:rPr>
          <w:sz w:val="29"/>
        </w:rPr>
      </w:pPr>
    </w:p>
    <w:p>
      <w:pPr>
        <w:wordWrap w:val="0"/>
        <w:rPr>
          <w:sz w:val="29"/>
        </w:rPr>
        <w:sectPr>
          <w:pgSz w:w="11910" w:h="16840"/>
          <w:pgMar w:top="1340" w:right="840" w:bottom="960" w:left="1020" w:header="877" w:footer="770" w:gutter="0"/>
          <w:cols w:space="720" w:num="1"/>
        </w:sectPr>
      </w:pPr>
    </w:p>
    <w:p>
      <w:pPr>
        <w:pStyle w:val="2"/>
        <w:wordWrap w:val="0"/>
      </w:pPr>
    </w:p>
    <w:p>
      <w:pPr>
        <w:pStyle w:val="2"/>
        <w:wordWrap w:val="0"/>
        <w:spacing w:before="6"/>
        <w:rPr>
          <w:sz w:val="18"/>
        </w:rPr>
      </w:pPr>
    </w:p>
    <w:p>
      <w:pPr>
        <w:wordWrap w:val="0"/>
        <w:ind w:left="710"/>
        <w:rPr>
          <w:rFonts w:ascii="Microsoft YaHei UI" w:eastAsia="Microsoft YaHei UI"/>
          <w:b/>
          <w:sz w:val="24"/>
        </w:rPr>
      </w:pPr>
      <w:r>
        <w:rPr>
          <w:rFonts w:hint="eastAsia" w:ascii="Microsoft YaHei UI" w:eastAsia="Microsoft YaHei UI"/>
          <w:b/>
          <w:sz w:val="24"/>
        </w:rPr>
        <w:t>（三十六）质疑与投诉</w:t>
      </w:r>
    </w:p>
    <w:p>
      <w:pPr>
        <w:wordWrap w:val="0"/>
        <w:spacing w:line="593" w:lineRule="exact"/>
        <w:ind w:left="710"/>
        <w:rPr>
          <w:rFonts w:ascii="Microsoft YaHei UI" w:eastAsia="Microsoft YaHei UI"/>
          <w:b/>
          <w:sz w:val="36"/>
        </w:rPr>
      </w:pPr>
      <w:bookmarkStart w:id="10" w:name="_TOC_250003"/>
      <w:r>
        <w:br w:type="column"/>
      </w:r>
      <w:bookmarkEnd w:id="10"/>
      <w:r>
        <w:rPr>
          <w:rFonts w:hint="eastAsia" w:ascii="Microsoft YaHei UI" w:eastAsia="Microsoft YaHei UI"/>
          <w:b/>
          <w:sz w:val="36"/>
        </w:rPr>
        <w:t>九、质疑与投诉</w:t>
      </w:r>
    </w:p>
    <w:p>
      <w:pPr>
        <w:wordWrap w:val="0"/>
        <w:spacing w:line="593" w:lineRule="exact"/>
        <w:rPr>
          <w:rFonts w:ascii="Microsoft YaHei UI" w:eastAsia="Microsoft YaHei UI"/>
          <w:sz w:val="36"/>
        </w:rPr>
        <w:sectPr>
          <w:type w:val="continuous"/>
          <w:pgSz w:w="11910" w:h="16840"/>
          <w:pgMar w:top="1340" w:right="840" w:bottom="960" w:left="1020" w:header="720" w:footer="720" w:gutter="0"/>
          <w:cols w:equalWidth="0" w:num="2">
            <w:col w:w="3160" w:space="160"/>
            <w:col w:w="6730"/>
          </w:cols>
        </w:sectPr>
      </w:pPr>
    </w:p>
    <w:p>
      <w:pPr>
        <w:pStyle w:val="14"/>
        <w:numPr>
          <w:ilvl w:val="0"/>
          <w:numId w:val="27"/>
        </w:numPr>
        <w:tabs>
          <w:tab w:val="left" w:pos="1070"/>
        </w:tabs>
        <w:wordWrap w:val="0"/>
        <w:spacing w:before="79" w:line="343" w:lineRule="auto"/>
        <w:ind w:left="227" w:right="400" w:firstLine="480"/>
        <w:rPr>
          <w:sz w:val="24"/>
        </w:rPr>
      </w:pPr>
      <w:r>
        <w:rPr>
          <w:sz w:val="24"/>
        </w:rPr>
        <w:t>供应商认为采购文件、采购过程和成交结果使自己的权益受到损害的，可以在知道或者应知其权益受到损害之日起七个工作日内，以书面形式向采购人提出质疑。</w:t>
      </w:r>
    </w:p>
    <w:p>
      <w:pPr>
        <w:pStyle w:val="14"/>
        <w:numPr>
          <w:ilvl w:val="0"/>
          <w:numId w:val="27"/>
        </w:numPr>
        <w:tabs>
          <w:tab w:val="left" w:pos="1070"/>
        </w:tabs>
        <w:wordWrap w:val="0"/>
        <w:spacing w:before="0" w:line="306" w:lineRule="exact"/>
        <w:ind w:left="1069" w:hanging="362"/>
        <w:rPr>
          <w:sz w:val="24"/>
        </w:rPr>
      </w:pPr>
      <w:r>
        <w:rPr>
          <w:sz w:val="24"/>
        </w:rPr>
        <w:t>供应商应知其权益受到损害之日，是指：</w:t>
      </w:r>
    </w:p>
    <w:p>
      <w:pPr>
        <w:pStyle w:val="14"/>
        <w:numPr>
          <w:ilvl w:val="0"/>
          <w:numId w:val="28"/>
        </w:numPr>
        <w:tabs>
          <w:tab w:val="left" w:pos="1310"/>
        </w:tabs>
        <w:wordWrap w:val="0"/>
        <w:spacing w:before="134"/>
        <w:ind w:hanging="602"/>
        <w:rPr>
          <w:sz w:val="24"/>
        </w:rPr>
      </w:pPr>
      <w:r>
        <w:rPr>
          <w:sz w:val="24"/>
        </w:rPr>
        <w:t>对本项目采购文件提出质疑的，采购文件公告期限届满之日；</w:t>
      </w:r>
    </w:p>
    <w:p>
      <w:pPr>
        <w:pStyle w:val="14"/>
        <w:numPr>
          <w:ilvl w:val="0"/>
          <w:numId w:val="28"/>
        </w:numPr>
        <w:tabs>
          <w:tab w:val="left" w:pos="1310"/>
        </w:tabs>
        <w:wordWrap w:val="0"/>
        <w:ind w:hanging="602"/>
        <w:rPr>
          <w:sz w:val="24"/>
        </w:rPr>
      </w:pPr>
      <w:r>
        <w:rPr>
          <w:sz w:val="24"/>
        </w:rPr>
        <w:t>对本项目采购过程提出质疑的，为各采购程序环节结束之日；</w:t>
      </w:r>
    </w:p>
    <w:p>
      <w:pPr>
        <w:pStyle w:val="14"/>
        <w:numPr>
          <w:ilvl w:val="0"/>
          <w:numId w:val="28"/>
        </w:numPr>
        <w:tabs>
          <w:tab w:val="left" w:pos="1310"/>
        </w:tabs>
        <w:wordWrap w:val="0"/>
        <w:ind w:hanging="602"/>
        <w:rPr>
          <w:sz w:val="24"/>
        </w:rPr>
      </w:pPr>
      <w:r>
        <w:rPr>
          <w:sz w:val="24"/>
        </w:rPr>
        <w:t>对本项目成交结果提出质疑的，为成交结果公告期限届满之日。</w:t>
      </w:r>
    </w:p>
    <w:p>
      <w:pPr>
        <w:pStyle w:val="14"/>
        <w:numPr>
          <w:ilvl w:val="0"/>
          <w:numId w:val="27"/>
        </w:numPr>
        <w:tabs>
          <w:tab w:val="left" w:pos="1070"/>
        </w:tabs>
        <w:wordWrap w:val="0"/>
        <w:spacing w:before="134" w:line="343" w:lineRule="auto"/>
        <w:ind w:left="227" w:right="403" w:firstLine="480"/>
        <w:jc w:val="both"/>
        <w:rPr>
          <w:sz w:val="24"/>
        </w:rPr>
      </w:pPr>
      <w:r>
        <w:rPr>
          <w:sz w:val="24"/>
        </w:rPr>
        <w:t>质疑供应商应当是参与所质疑项目采购活动的供应商。潜在供应商已依法获取其可质疑的采购文件的，方可对该文件提出质疑。供应商在法定质疑期内应一次性提出针对同一采购程序环节的质疑。</w:t>
      </w:r>
    </w:p>
    <w:p>
      <w:pPr>
        <w:pStyle w:val="14"/>
        <w:numPr>
          <w:ilvl w:val="0"/>
          <w:numId w:val="27"/>
        </w:numPr>
        <w:tabs>
          <w:tab w:val="left" w:pos="1070"/>
        </w:tabs>
        <w:wordWrap w:val="0"/>
        <w:spacing w:before="1"/>
        <w:ind w:left="1069" w:hanging="362"/>
        <w:rPr>
          <w:sz w:val="24"/>
        </w:rPr>
      </w:pPr>
      <w:r>
        <w:rPr>
          <w:sz w:val="24"/>
        </w:rPr>
        <w:t>供应商提出质疑应当提交质疑函和必要的证明材料。质疑函的必备内容包括：</w:t>
      </w:r>
    </w:p>
    <w:p>
      <w:pPr>
        <w:pStyle w:val="14"/>
        <w:numPr>
          <w:ilvl w:val="0"/>
          <w:numId w:val="29"/>
        </w:numPr>
        <w:tabs>
          <w:tab w:val="left" w:pos="1310"/>
        </w:tabs>
        <w:wordWrap w:val="0"/>
        <w:ind w:hanging="602"/>
        <w:rPr>
          <w:sz w:val="24"/>
        </w:rPr>
      </w:pPr>
      <w:r>
        <w:rPr>
          <w:sz w:val="24"/>
        </w:rPr>
        <w:t>供应商的姓名或者名称、地址、邮编、联系人及联系电话；</w:t>
      </w:r>
    </w:p>
    <w:p>
      <w:pPr>
        <w:pStyle w:val="14"/>
        <w:numPr>
          <w:ilvl w:val="0"/>
          <w:numId w:val="29"/>
        </w:numPr>
        <w:tabs>
          <w:tab w:val="left" w:pos="1310"/>
        </w:tabs>
        <w:wordWrap w:val="0"/>
        <w:ind w:hanging="602"/>
        <w:rPr>
          <w:sz w:val="24"/>
        </w:rPr>
      </w:pPr>
      <w:r>
        <w:rPr>
          <w:sz w:val="24"/>
        </w:rPr>
        <w:t>质疑项目的名称、编号；</w:t>
      </w:r>
    </w:p>
    <w:p>
      <w:pPr>
        <w:pStyle w:val="14"/>
        <w:numPr>
          <w:ilvl w:val="0"/>
          <w:numId w:val="29"/>
        </w:numPr>
        <w:tabs>
          <w:tab w:val="left" w:pos="1310"/>
        </w:tabs>
        <w:wordWrap w:val="0"/>
        <w:spacing w:before="134"/>
        <w:ind w:hanging="602"/>
        <w:rPr>
          <w:sz w:val="24"/>
        </w:rPr>
      </w:pPr>
      <w:r>
        <w:rPr>
          <w:sz w:val="24"/>
        </w:rPr>
        <w:t>具体、明确的质疑事项和质疑事项相关的请求；</w:t>
      </w:r>
    </w:p>
    <w:p>
      <w:pPr>
        <w:pStyle w:val="14"/>
        <w:numPr>
          <w:ilvl w:val="0"/>
          <w:numId w:val="29"/>
        </w:numPr>
        <w:tabs>
          <w:tab w:val="left" w:pos="1310"/>
        </w:tabs>
        <w:wordWrap w:val="0"/>
        <w:ind w:hanging="602"/>
        <w:rPr>
          <w:sz w:val="24"/>
        </w:rPr>
      </w:pPr>
      <w:r>
        <w:rPr>
          <w:sz w:val="24"/>
        </w:rPr>
        <w:t>事实依据；</w:t>
      </w:r>
    </w:p>
    <w:p>
      <w:pPr>
        <w:pStyle w:val="14"/>
        <w:numPr>
          <w:ilvl w:val="0"/>
          <w:numId w:val="29"/>
        </w:numPr>
        <w:tabs>
          <w:tab w:val="left" w:pos="1310"/>
        </w:tabs>
        <w:wordWrap w:val="0"/>
        <w:ind w:hanging="602"/>
        <w:rPr>
          <w:sz w:val="24"/>
        </w:rPr>
      </w:pPr>
      <w:r>
        <w:rPr>
          <w:sz w:val="24"/>
        </w:rPr>
        <w:t>必要的法律依据；</w:t>
      </w:r>
    </w:p>
    <w:p>
      <w:pPr>
        <w:pStyle w:val="14"/>
        <w:numPr>
          <w:ilvl w:val="0"/>
          <w:numId w:val="29"/>
        </w:numPr>
        <w:tabs>
          <w:tab w:val="left" w:pos="1310"/>
        </w:tabs>
        <w:wordWrap w:val="0"/>
        <w:spacing w:before="134"/>
        <w:ind w:hanging="602"/>
        <w:rPr>
          <w:sz w:val="24"/>
        </w:rPr>
      </w:pPr>
      <w:r>
        <w:rPr>
          <w:sz w:val="24"/>
        </w:rPr>
        <w:t>提出质疑的日期；</w:t>
      </w:r>
    </w:p>
    <w:p>
      <w:pPr>
        <w:pStyle w:val="14"/>
        <w:numPr>
          <w:ilvl w:val="0"/>
          <w:numId w:val="29"/>
        </w:numPr>
        <w:tabs>
          <w:tab w:val="left" w:pos="1310"/>
        </w:tabs>
        <w:wordWrap w:val="0"/>
        <w:spacing w:before="131" w:line="343" w:lineRule="auto"/>
        <w:ind w:left="227" w:right="402" w:firstLine="480"/>
        <w:rPr>
          <w:sz w:val="24"/>
        </w:rPr>
      </w:pPr>
      <w:r>
        <w:rPr>
          <w:spacing w:val="-2"/>
          <w:sz w:val="24"/>
        </w:rPr>
        <w:t>供应商为自然人的，由本人签字；供应商为法人或者其他组织的，应当由法定代</w:t>
      </w:r>
      <w:r>
        <w:rPr>
          <w:sz w:val="24"/>
        </w:rPr>
        <w:t>表人、主要负责人，或者其授权代表签字或者盖章，并加盖公章。</w:t>
      </w:r>
    </w:p>
    <w:p>
      <w:pPr>
        <w:pStyle w:val="14"/>
        <w:numPr>
          <w:ilvl w:val="0"/>
          <w:numId w:val="29"/>
        </w:numPr>
        <w:tabs>
          <w:tab w:val="left" w:pos="1315"/>
        </w:tabs>
        <w:wordWrap w:val="0"/>
        <w:spacing w:before="2" w:line="343" w:lineRule="auto"/>
        <w:ind w:left="227" w:right="285" w:firstLine="480"/>
        <w:rPr>
          <w:sz w:val="24"/>
        </w:rPr>
      </w:pPr>
      <w:r>
        <w:rPr>
          <w:sz w:val="24"/>
        </w:rPr>
        <w:t>供应商委托代理人进行质疑的，代理人同时应当提交供应商签署的授权委托书。授权委托书载明代理人的姓名或者名称、代理事项、具体权限、期限和相关事项。供应商为自然人的，授权委托书应当由本人签字；供应商为法人或者其他组织的，授权委托书应当由法定代表人、主要负责人签字或者盖章，并加盖单位公章。</w:t>
      </w:r>
    </w:p>
    <w:p>
      <w:pPr>
        <w:pStyle w:val="14"/>
        <w:numPr>
          <w:ilvl w:val="0"/>
          <w:numId w:val="27"/>
        </w:numPr>
        <w:tabs>
          <w:tab w:val="left" w:pos="1070"/>
        </w:tabs>
        <w:wordWrap w:val="0"/>
        <w:spacing w:before="1" w:line="343" w:lineRule="auto"/>
        <w:ind w:left="227" w:right="398" w:firstLine="480"/>
        <w:jc w:val="both"/>
        <w:rPr>
          <w:sz w:val="24"/>
        </w:rPr>
      </w:pPr>
      <w:r>
        <w:rPr>
          <w:sz w:val="24"/>
        </w:rPr>
        <w:t>采购人在收到质疑函后，认为质疑函不符合本规定的，一次性书面告知质疑人进行补正。质疑人应当在法定质疑期限内进行补正并重新提交质疑函，未按照补正期限进行补正或者补正后仍不符合规定的，质疑不成立。</w:t>
      </w:r>
    </w:p>
    <w:p>
      <w:pPr>
        <w:pStyle w:val="14"/>
        <w:numPr>
          <w:ilvl w:val="0"/>
          <w:numId w:val="27"/>
        </w:numPr>
        <w:tabs>
          <w:tab w:val="left" w:pos="1070"/>
        </w:tabs>
        <w:wordWrap w:val="0"/>
        <w:spacing w:before="0" w:line="343" w:lineRule="auto"/>
        <w:ind w:left="227" w:right="402" w:firstLine="480"/>
        <w:jc w:val="both"/>
        <w:rPr>
          <w:sz w:val="24"/>
        </w:rPr>
      </w:pPr>
      <w:r>
        <w:rPr>
          <w:spacing w:val="-7"/>
          <w:sz w:val="24"/>
        </w:rPr>
        <w:t xml:space="preserve">采购人在收到质疑函后 </w:t>
      </w:r>
      <w:r>
        <w:rPr>
          <w:spacing w:val="-1"/>
          <w:sz w:val="24"/>
        </w:rPr>
        <w:t>7</w:t>
      </w:r>
      <w:r>
        <w:rPr>
          <w:spacing w:val="-9"/>
          <w:sz w:val="24"/>
        </w:rPr>
        <w:t xml:space="preserve"> 个工作日内作出答复，并以书面形式通知质疑供应商和</w:t>
      </w:r>
      <w:r>
        <w:rPr>
          <w:sz w:val="24"/>
        </w:rPr>
        <w:t>其他有关供应商，但质疑答复的内容不涉及商业秘密。</w:t>
      </w:r>
    </w:p>
    <w:p>
      <w:pPr>
        <w:pStyle w:val="14"/>
        <w:numPr>
          <w:ilvl w:val="0"/>
          <w:numId w:val="27"/>
        </w:numPr>
        <w:tabs>
          <w:tab w:val="left" w:pos="1070"/>
        </w:tabs>
        <w:wordWrap w:val="0"/>
        <w:spacing w:before="2" w:line="343" w:lineRule="auto"/>
        <w:ind w:left="227" w:right="400" w:firstLine="480"/>
        <w:jc w:val="both"/>
        <w:rPr>
          <w:sz w:val="24"/>
        </w:rPr>
      </w:pPr>
      <w:r>
        <w:rPr>
          <w:sz w:val="24"/>
        </w:rPr>
        <w:t>质疑供应商对采购人的答复不满意，或者采购人未在规定时间内作出答复的，质</w:t>
      </w:r>
      <w:r>
        <w:rPr>
          <w:spacing w:val="-6"/>
          <w:sz w:val="24"/>
        </w:rPr>
        <w:t xml:space="preserve">疑供应商可以在答复期满后 </w:t>
      </w:r>
      <w:r>
        <w:rPr>
          <w:spacing w:val="-1"/>
          <w:sz w:val="24"/>
        </w:rPr>
        <w:t>15</w:t>
      </w:r>
      <w:r>
        <w:rPr>
          <w:spacing w:val="-8"/>
          <w:sz w:val="24"/>
        </w:rPr>
        <w:t xml:space="preserve"> 个工作日内向同级财政部门提起投诉。</w:t>
      </w:r>
    </w:p>
    <w:p>
      <w:pPr>
        <w:wordWrap w:val="0"/>
        <w:spacing w:line="343" w:lineRule="auto"/>
        <w:jc w:val="both"/>
        <w:rPr>
          <w:sz w:val="24"/>
        </w:rPr>
        <w:sectPr>
          <w:type w:val="continuous"/>
          <w:pgSz w:w="11910" w:h="16840"/>
          <w:pgMar w:top="1340" w:right="840" w:bottom="960" w:left="1020" w:header="720" w:footer="720" w:gutter="0"/>
          <w:cols w:space="720" w:num="1"/>
        </w:sectPr>
      </w:pPr>
    </w:p>
    <w:p>
      <w:pPr>
        <w:pStyle w:val="14"/>
        <w:numPr>
          <w:ilvl w:val="0"/>
          <w:numId w:val="27"/>
        </w:numPr>
        <w:tabs>
          <w:tab w:val="left" w:pos="1070"/>
        </w:tabs>
        <w:wordWrap w:val="0"/>
        <w:spacing w:before="113" w:line="343" w:lineRule="auto"/>
        <w:ind w:left="227" w:right="403" w:firstLine="480"/>
        <w:rPr>
          <w:sz w:val="24"/>
        </w:rPr>
      </w:pPr>
      <w:r>
        <w:rPr>
          <w:sz w:val="24"/>
        </w:rPr>
        <w:t>供应商捏造事实、提供虚假材料或者以非法手段取得证明材料进行投诉的，由财</w:t>
      </w:r>
      <w:r>
        <w:rPr>
          <w:spacing w:val="-5"/>
          <w:sz w:val="24"/>
        </w:rPr>
        <w:t xml:space="preserve">政部门列入不良行为记录名单，禁止其 </w:t>
      </w:r>
      <w:r>
        <w:rPr>
          <w:sz w:val="24"/>
        </w:rPr>
        <w:t>1</w:t>
      </w:r>
      <w:r>
        <w:rPr>
          <w:spacing w:val="-40"/>
          <w:sz w:val="24"/>
        </w:rPr>
        <w:t xml:space="preserve"> 至 </w:t>
      </w:r>
      <w:r>
        <w:rPr>
          <w:sz w:val="24"/>
        </w:rPr>
        <w:t>3</w:t>
      </w:r>
      <w:r>
        <w:rPr>
          <w:spacing w:val="-8"/>
          <w:sz w:val="24"/>
        </w:rPr>
        <w:t xml:space="preserve"> 年内参加政府采购活动。</w:t>
      </w:r>
    </w:p>
    <w:p>
      <w:pPr>
        <w:wordWrap w:val="0"/>
        <w:spacing w:line="343" w:lineRule="auto"/>
        <w:rPr>
          <w:sz w:val="24"/>
        </w:rPr>
        <w:sectPr>
          <w:pgSz w:w="11910" w:h="16840"/>
          <w:pgMar w:top="1340" w:right="840" w:bottom="960" w:left="1020" w:header="877" w:footer="770" w:gutter="0"/>
          <w:cols w:space="720" w:num="1"/>
        </w:sectPr>
      </w:pPr>
    </w:p>
    <w:p>
      <w:pPr>
        <w:tabs>
          <w:tab w:val="left" w:pos="2208"/>
        </w:tabs>
        <w:wordWrap w:val="0"/>
        <w:spacing w:line="638" w:lineRule="exact"/>
        <w:ind w:right="174"/>
        <w:jc w:val="center"/>
        <w:rPr>
          <w:rFonts w:ascii="Microsoft YaHei UI" w:eastAsia="Microsoft YaHei UI"/>
          <w:b/>
          <w:sz w:val="44"/>
        </w:rPr>
      </w:pPr>
      <w:r>
        <w:pict>
          <v:rect id="_x0000_s2086" o:spid="_x0000_s2086" o:spt="1" style="position:absolute;left:0pt;margin-left:60.95pt;margin-top:2.45pt;height:0.7pt;width:473.6pt;mso-position-horizontal-relative:page;z-index:-251651072;mso-width-relative:page;mso-height-relative:page;" fillcolor="#000000" filled="t" stroked="f" coordsize="21600,21600">
            <v:path/>
            <v:fill on="t" focussize="0,0"/>
            <v:stroke on="f"/>
            <v:imagedata o:title=""/>
            <o:lock v:ext="edit"/>
          </v:rect>
        </w:pict>
      </w:r>
      <w:r>
        <w:rPr>
          <w:rFonts w:hint="eastAsia" w:ascii="Microsoft YaHei UI" w:eastAsia="Microsoft YaHei UI"/>
          <w:b/>
          <w:sz w:val="44"/>
        </w:rPr>
        <w:t>第三部分</w:t>
      </w:r>
      <w:r>
        <w:rPr>
          <w:rFonts w:hint="eastAsia" w:ascii="Microsoft YaHei UI" w:eastAsia="Microsoft YaHei UI"/>
          <w:b/>
          <w:sz w:val="44"/>
        </w:rPr>
        <w:tab/>
      </w:r>
      <w:r>
        <w:rPr>
          <w:rFonts w:hint="eastAsia" w:ascii="Microsoft YaHei UI" w:eastAsia="Microsoft YaHei UI"/>
          <w:b/>
          <w:w w:val="95"/>
          <w:sz w:val="44"/>
        </w:rPr>
        <w:t>评标办法</w:t>
      </w:r>
    </w:p>
    <w:p>
      <w:pPr>
        <w:wordWrap w:val="0"/>
        <w:spacing w:before="244"/>
        <w:ind w:left="710"/>
        <w:rPr>
          <w:rFonts w:ascii="Microsoft YaHei UI" w:eastAsia="Microsoft YaHei UI"/>
          <w:b/>
          <w:sz w:val="24"/>
        </w:rPr>
      </w:pPr>
      <w:r>
        <w:rPr>
          <w:rFonts w:hint="eastAsia" w:ascii="Microsoft YaHei UI" w:eastAsia="Microsoft YaHei UI"/>
          <w:b/>
          <w:sz w:val="24"/>
        </w:rPr>
        <w:t>一、评标办法：</w:t>
      </w:r>
    </w:p>
    <w:p>
      <w:pPr>
        <w:pStyle w:val="2"/>
        <w:wordWrap w:val="0"/>
        <w:spacing w:before="77" w:line="343" w:lineRule="auto"/>
        <w:ind w:left="227" w:right="283" w:firstLine="480"/>
      </w:pPr>
      <w:r>
        <w:rPr>
          <w:spacing w:val="-6"/>
        </w:rPr>
        <w:t>本项目采用综合评分办法，磋商小组严格按照竞争性磋商文件规定的评分标准和要求，</w:t>
      </w:r>
      <w:r>
        <w:rPr>
          <w:spacing w:val="-117"/>
        </w:rPr>
        <w:t xml:space="preserve"> </w:t>
      </w:r>
      <w:r>
        <w:t>对各响应文件进行综合评审，按得分高低顺序推荐成交候选人。得分相同的，按报价从低到高顺序排列；得分且报价相同的，按技术指标优劣顺序排列。</w:t>
      </w:r>
    </w:p>
    <w:p>
      <w:pPr>
        <w:pStyle w:val="2"/>
        <w:wordWrap w:val="0"/>
        <w:spacing w:line="363" w:lineRule="exact"/>
        <w:ind w:left="710"/>
      </w:pPr>
      <w:r>
        <w:rPr>
          <w:rFonts w:hint="eastAsia" w:ascii="Microsoft YaHei UI" w:eastAsia="Microsoft YaHei UI"/>
          <w:b/>
        </w:rPr>
        <w:t>二、初步评审：</w:t>
      </w:r>
      <w:r>
        <w:t>磋商小组首先按照下列指标对各供应商进行初步评审，未通过评审的</w:t>
      </w:r>
    </w:p>
    <w:p>
      <w:pPr>
        <w:pStyle w:val="2"/>
        <w:wordWrap w:val="0"/>
        <w:spacing w:before="77" w:after="22"/>
        <w:ind w:left="227"/>
      </w:pPr>
      <w:r>
        <w:t>为无效响应，不再参与评审。</w:t>
      </w:r>
    </w:p>
    <w:tbl>
      <w:tblPr>
        <w:tblStyle w:val="9"/>
        <w:tblW w:w="0" w:type="auto"/>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86"/>
        <w:gridCol w:w="4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5286" w:type="dxa"/>
          </w:tcPr>
          <w:p>
            <w:pPr>
              <w:pStyle w:val="15"/>
              <w:wordWrap w:val="0"/>
              <w:spacing w:before="142"/>
              <w:ind w:left="2201" w:right="2190"/>
              <w:jc w:val="center"/>
              <w:rPr>
                <w:sz w:val="21"/>
              </w:rPr>
            </w:pPr>
            <w:r>
              <w:rPr>
                <w:sz w:val="21"/>
              </w:rPr>
              <w:t>评审因素</w:t>
            </w:r>
          </w:p>
        </w:tc>
        <w:tc>
          <w:tcPr>
            <w:tcW w:w="4175" w:type="dxa"/>
          </w:tcPr>
          <w:p>
            <w:pPr>
              <w:pStyle w:val="15"/>
              <w:wordWrap w:val="0"/>
              <w:spacing w:before="142"/>
              <w:ind w:left="1644" w:right="1636"/>
              <w:jc w:val="center"/>
              <w:rPr>
                <w:sz w:val="21"/>
              </w:rPr>
            </w:pPr>
            <w:r>
              <w:rPr>
                <w:sz w:val="21"/>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15"/>
              <w:wordWrap w:val="0"/>
              <w:spacing w:before="142"/>
              <w:ind w:left="4"/>
              <w:rPr>
                <w:sz w:val="21"/>
              </w:rPr>
            </w:pPr>
            <w:r>
              <w:rPr>
                <w:sz w:val="21"/>
              </w:rPr>
              <w:t>磋商响应函</w:t>
            </w:r>
          </w:p>
        </w:tc>
        <w:tc>
          <w:tcPr>
            <w:tcW w:w="4175" w:type="dxa"/>
          </w:tcPr>
          <w:p>
            <w:pPr>
              <w:pStyle w:val="15"/>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5"/>
              <w:wordWrap w:val="0"/>
              <w:spacing w:before="142"/>
              <w:ind w:left="4"/>
              <w:rPr>
                <w:sz w:val="21"/>
              </w:rPr>
            </w:pPr>
            <w:r>
              <w:rPr>
                <w:spacing w:val="-1"/>
                <w:sz w:val="21"/>
              </w:rPr>
              <w:t>法人代表证明或法定代表人授权委托书</w:t>
            </w:r>
          </w:p>
        </w:tc>
        <w:tc>
          <w:tcPr>
            <w:tcW w:w="4175" w:type="dxa"/>
          </w:tcPr>
          <w:p>
            <w:pPr>
              <w:pStyle w:val="15"/>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15"/>
              <w:wordWrap w:val="0"/>
              <w:spacing w:before="145"/>
              <w:ind w:left="4"/>
              <w:rPr>
                <w:sz w:val="21"/>
              </w:rPr>
            </w:pPr>
            <w:r>
              <w:rPr>
                <w:sz w:val="21"/>
              </w:rPr>
              <w:t>营业执照、税务登记证</w:t>
            </w:r>
          </w:p>
        </w:tc>
        <w:tc>
          <w:tcPr>
            <w:tcW w:w="4175" w:type="dxa"/>
          </w:tcPr>
          <w:p>
            <w:pPr>
              <w:pStyle w:val="15"/>
              <w:wordWrap w:val="0"/>
              <w:spacing w:before="145"/>
              <w:ind w:left="4"/>
              <w:rPr>
                <w:sz w:val="21"/>
              </w:rPr>
            </w:pPr>
            <w:r>
              <w:rPr>
                <w:sz w:val="21"/>
              </w:rPr>
              <w:t>合法有效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5"/>
              <w:wordWrap w:val="0"/>
              <w:spacing w:before="142"/>
              <w:ind w:left="4"/>
              <w:rPr>
                <w:sz w:val="21"/>
              </w:rPr>
            </w:pPr>
            <w:r>
              <w:rPr>
                <w:sz w:val="21"/>
              </w:rPr>
              <w:t>无重大违法行为声明</w:t>
            </w:r>
          </w:p>
        </w:tc>
        <w:tc>
          <w:tcPr>
            <w:tcW w:w="4175" w:type="dxa"/>
          </w:tcPr>
          <w:p>
            <w:pPr>
              <w:pStyle w:val="15"/>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5"/>
              <w:wordWrap w:val="0"/>
              <w:spacing w:before="145"/>
              <w:ind w:left="4"/>
              <w:rPr>
                <w:sz w:val="21"/>
              </w:rPr>
            </w:pPr>
            <w:r>
              <w:rPr>
                <w:spacing w:val="-1"/>
                <w:sz w:val="21"/>
              </w:rPr>
              <w:t>医疗器械注册证、生产许可证、经营许可证、授权书</w:t>
            </w:r>
          </w:p>
        </w:tc>
        <w:tc>
          <w:tcPr>
            <w:tcW w:w="4175" w:type="dxa"/>
          </w:tcPr>
          <w:p>
            <w:pPr>
              <w:pStyle w:val="15"/>
              <w:wordWrap w:val="0"/>
              <w:spacing w:before="145"/>
              <w:ind w:left="4"/>
              <w:rPr>
                <w:sz w:val="21"/>
              </w:rPr>
            </w:pPr>
            <w:r>
              <w:rPr>
                <w:sz w:val="21"/>
              </w:rPr>
              <w:t>符合磋商文件要求，合法有效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5"/>
              <w:wordWrap w:val="0"/>
              <w:spacing w:before="142"/>
              <w:ind w:left="4"/>
              <w:rPr>
                <w:sz w:val="21"/>
              </w:rPr>
            </w:pPr>
            <w:r>
              <w:rPr>
                <w:sz w:val="21"/>
              </w:rPr>
              <w:t>联合体响应</w:t>
            </w:r>
          </w:p>
        </w:tc>
        <w:tc>
          <w:tcPr>
            <w:tcW w:w="4175" w:type="dxa"/>
          </w:tcPr>
          <w:p>
            <w:pPr>
              <w:pStyle w:val="15"/>
              <w:wordWrap w:val="0"/>
              <w:spacing w:before="142"/>
              <w:ind w:left="4"/>
              <w:rPr>
                <w:sz w:val="21"/>
              </w:rPr>
            </w:pPr>
            <w:r>
              <w:rPr>
                <w:sz w:val="21"/>
              </w:rPr>
              <w:t>本项目不接受联合体响应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5"/>
              <w:wordWrap w:val="0"/>
              <w:spacing w:before="142"/>
              <w:ind w:left="4"/>
              <w:rPr>
                <w:sz w:val="21"/>
              </w:rPr>
            </w:pPr>
            <w:r>
              <w:rPr>
                <w:sz w:val="21"/>
              </w:rPr>
              <w:t>报价一览表及报价</w:t>
            </w:r>
          </w:p>
        </w:tc>
        <w:tc>
          <w:tcPr>
            <w:tcW w:w="4175" w:type="dxa"/>
          </w:tcPr>
          <w:p>
            <w:pPr>
              <w:pStyle w:val="15"/>
              <w:wordWrap w:val="0"/>
              <w:spacing w:before="142"/>
              <w:ind w:left="4"/>
              <w:rPr>
                <w:sz w:val="21"/>
              </w:rPr>
            </w:pPr>
            <w:r>
              <w:rPr>
                <w:sz w:val="21"/>
              </w:rPr>
              <w:t>格式、填写要求符合磋商文件规定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5"/>
              <w:wordWrap w:val="0"/>
              <w:spacing w:before="143"/>
              <w:ind w:left="4"/>
              <w:rPr>
                <w:sz w:val="21"/>
              </w:rPr>
            </w:pPr>
            <w:r>
              <w:rPr>
                <w:sz w:val="21"/>
              </w:rPr>
              <w:t>技术标准和要求</w:t>
            </w:r>
          </w:p>
        </w:tc>
        <w:tc>
          <w:tcPr>
            <w:tcW w:w="4175" w:type="dxa"/>
          </w:tcPr>
          <w:p>
            <w:pPr>
              <w:pStyle w:val="15"/>
              <w:wordWrap w:val="0"/>
              <w:spacing w:before="143"/>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15"/>
              <w:wordWrap w:val="0"/>
              <w:spacing w:before="142"/>
              <w:ind w:left="4"/>
              <w:rPr>
                <w:sz w:val="21"/>
              </w:rPr>
            </w:pPr>
            <w:r>
              <w:rPr>
                <w:sz w:val="21"/>
              </w:rPr>
              <w:t>其他</w:t>
            </w:r>
          </w:p>
        </w:tc>
        <w:tc>
          <w:tcPr>
            <w:tcW w:w="4175" w:type="dxa"/>
          </w:tcPr>
          <w:p>
            <w:pPr>
              <w:pStyle w:val="15"/>
              <w:wordWrap w:val="0"/>
              <w:spacing w:before="142"/>
              <w:ind w:left="4"/>
              <w:rPr>
                <w:sz w:val="21"/>
              </w:rPr>
            </w:pPr>
            <w:r>
              <w:rPr>
                <w:sz w:val="21"/>
              </w:rPr>
              <w:t>符合磋商文件要求</w:t>
            </w:r>
          </w:p>
        </w:tc>
      </w:tr>
    </w:tbl>
    <w:p>
      <w:pPr>
        <w:pStyle w:val="2"/>
        <w:wordWrap w:val="0"/>
      </w:pPr>
    </w:p>
    <w:p>
      <w:pPr>
        <w:pStyle w:val="2"/>
        <w:wordWrap w:val="0"/>
        <w:spacing w:before="179" w:line="283" w:lineRule="auto"/>
        <w:ind w:left="227" w:right="403" w:firstLine="482"/>
      </w:pPr>
      <w:r>
        <w:rPr>
          <w:rFonts w:hint="eastAsia" w:ascii="Microsoft YaHei UI" w:eastAsia="Microsoft YaHei UI"/>
          <w:b/>
          <w:spacing w:val="-2"/>
        </w:rPr>
        <w:t>三、详细评审</w:t>
      </w:r>
      <w:r>
        <w:rPr>
          <w:rFonts w:hint="eastAsia" w:ascii="Microsoft YaHei UI" w:eastAsia="Microsoft YaHei UI"/>
          <w:b/>
          <w:spacing w:val="-2"/>
          <w:w w:val="155"/>
        </w:rPr>
        <w:t>:</w:t>
      </w:r>
      <w:r>
        <w:rPr>
          <w:spacing w:val="-2"/>
        </w:rPr>
        <w:t>磋商小组按照竞争性磋商文件规定的评分标准，对各响应文件进行详细</w:t>
      </w:r>
      <w:r>
        <w:t>评审打分。磋商小组组长对各评审专家的打分情况进行复核无误后汇总。</w:t>
      </w:r>
    </w:p>
    <w:p>
      <w:pPr>
        <w:pStyle w:val="2"/>
        <w:wordWrap w:val="0"/>
        <w:rPr>
          <w:sz w:val="20"/>
        </w:rPr>
      </w:pPr>
    </w:p>
    <w:p>
      <w:pPr>
        <w:pStyle w:val="2"/>
        <w:wordWrap w:val="0"/>
        <w:spacing w:before="4" w:after="1"/>
        <w:rPr>
          <w:sz w:val="13"/>
        </w:rPr>
      </w:pPr>
    </w:p>
    <w:tbl>
      <w:tblPr>
        <w:tblStyle w:val="9"/>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726"/>
        <w:gridCol w:w="711"/>
        <w:gridCol w:w="6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660" w:type="dxa"/>
            <w:gridSpan w:val="2"/>
          </w:tcPr>
          <w:p>
            <w:pPr>
              <w:pStyle w:val="15"/>
              <w:wordWrap w:val="0"/>
              <w:spacing w:before="160"/>
              <w:ind w:left="849"/>
              <w:rPr>
                <w:sz w:val="24"/>
              </w:rPr>
            </w:pPr>
            <w:r>
              <w:rPr>
                <w:sz w:val="24"/>
              </w:rPr>
              <w:t>评审因素</w:t>
            </w:r>
          </w:p>
        </w:tc>
        <w:tc>
          <w:tcPr>
            <w:tcW w:w="711" w:type="dxa"/>
          </w:tcPr>
          <w:p>
            <w:pPr>
              <w:pStyle w:val="15"/>
              <w:wordWrap w:val="0"/>
              <w:spacing w:before="160"/>
              <w:ind w:left="92" w:right="89"/>
              <w:jc w:val="center"/>
              <w:rPr>
                <w:sz w:val="24"/>
              </w:rPr>
            </w:pPr>
            <w:r>
              <w:rPr>
                <w:sz w:val="24"/>
              </w:rPr>
              <w:t>分值</w:t>
            </w:r>
          </w:p>
        </w:tc>
        <w:tc>
          <w:tcPr>
            <w:tcW w:w="6445" w:type="dxa"/>
          </w:tcPr>
          <w:p>
            <w:pPr>
              <w:pStyle w:val="15"/>
              <w:wordWrap w:val="0"/>
              <w:spacing w:before="160"/>
              <w:ind w:left="2145"/>
              <w:rPr>
                <w:sz w:val="24"/>
              </w:rPr>
            </w:pPr>
            <w:r>
              <w:rPr>
                <w:sz w:val="24"/>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934" w:type="dxa"/>
          </w:tcPr>
          <w:p>
            <w:pPr>
              <w:pStyle w:val="15"/>
              <w:wordWrap w:val="0"/>
              <w:rPr>
                <w:sz w:val="21"/>
              </w:rPr>
            </w:pPr>
          </w:p>
          <w:p>
            <w:pPr>
              <w:pStyle w:val="15"/>
              <w:wordWrap w:val="0"/>
              <w:spacing w:line="280" w:lineRule="auto"/>
              <w:ind w:left="345" w:right="336"/>
              <w:jc w:val="both"/>
              <w:rPr>
                <w:sz w:val="24"/>
              </w:rPr>
            </w:pPr>
            <w:r>
              <w:rPr>
                <w:sz w:val="24"/>
              </w:rPr>
              <w:t>价格分</w:t>
            </w:r>
          </w:p>
        </w:tc>
        <w:tc>
          <w:tcPr>
            <w:tcW w:w="1726" w:type="dxa"/>
          </w:tcPr>
          <w:p>
            <w:pPr>
              <w:pStyle w:val="15"/>
              <w:wordWrap w:val="0"/>
              <w:rPr>
                <w:sz w:val="24"/>
              </w:rPr>
            </w:pPr>
          </w:p>
          <w:p>
            <w:pPr>
              <w:pStyle w:val="15"/>
              <w:wordWrap w:val="0"/>
              <w:spacing w:before="1"/>
              <w:rPr>
                <w:sz w:val="25"/>
              </w:rPr>
            </w:pPr>
          </w:p>
          <w:p>
            <w:pPr>
              <w:pStyle w:val="15"/>
              <w:wordWrap w:val="0"/>
              <w:ind w:left="121" w:right="115"/>
              <w:jc w:val="center"/>
              <w:rPr>
                <w:sz w:val="24"/>
              </w:rPr>
            </w:pPr>
            <w:r>
              <w:rPr>
                <w:sz w:val="24"/>
              </w:rPr>
              <w:t>设备响应报价</w:t>
            </w:r>
          </w:p>
        </w:tc>
        <w:tc>
          <w:tcPr>
            <w:tcW w:w="711" w:type="dxa"/>
          </w:tcPr>
          <w:p>
            <w:pPr>
              <w:pStyle w:val="15"/>
              <w:wordWrap w:val="0"/>
              <w:rPr>
                <w:sz w:val="24"/>
              </w:rPr>
            </w:pPr>
          </w:p>
          <w:p>
            <w:pPr>
              <w:pStyle w:val="15"/>
              <w:wordWrap w:val="0"/>
              <w:spacing w:before="1"/>
              <w:rPr>
                <w:sz w:val="25"/>
              </w:rPr>
            </w:pPr>
          </w:p>
          <w:p>
            <w:pPr>
              <w:pStyle w:val="15"/>
              <w:wordWrap w:val="0"/>
              <w:ind w:left="92" w:right="88"/>
              <w:jc w:val="center"/>
              <w:rPr>
                <w:sz w:val="24"/>
              </w:rPr>
            </w:pPr>
            <w:r>
              <w:rPr>
                <w:sz w:val="24"/>
              </w:rPr>
              <w:t>30</w:t>
            </w:r>
          </w:p>
        </w:tc>
        <w:tc>
          <w:tcPr>
            <w:tcW w:w="6445" w:type="dxa"/>
          </w:tcPr>
          <w:p>
            <w:pPr>
              <w:pStyle w:val="15"/>
              <w:wordWrap w:val="0"/>
              <w:spacing w:before="88" w:line="280" w:lineRule="auto"/>
              <w:ind w:left="102" w:right="99" w:firstLine="480"/>
              <w:jc w:val="both"/>
              <w:rPr>
                <w:sz w:val="24"/>
              </w:rPr>
            </w:pPr>
            <w:r>
              <w:rPr>
                <w:sz w:val="24"/>
              </w:rPr>
              <w:t>满足竞争性磋商文件要求且最终价格最低的报价为评</w:t>
            </w:r>
            <w:r>
              <w:rPr>
                <w:spacing w:val="-1"/>
                <w:sz w:val="24"/>
              </w:rPr>
              <w:t>标基准价，其价格分为满分，其他供应商的价格分按下列公</w:t>
            </w:r>
            <w:r>
              <w:rPr>
                <w:sz w:val="24"/>
              </w:rPr>
              <w:t>式计算：</w:t>
            </w:r>
          </w:p>
          <w:p>
            <w:pPr>
              <w:pStyle w:val="15"/>
              <w:wordWrap w:val="0"/>
              <w:spacing w:before="2"/>
              <w:ind w:left="582"/>
              <w:rPr>
                <w:sz w:val="24"/>
              </w:rPr>
            </w:pPr>
            <w:r>
              <w:rPr>
                <w:sz w:val="24"/>
              </w:rPr>
              <w:t>报价得分＝（评标基准价/报价）×30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934" w:type="dxa"/>
            <w:vMerge w:val="restart"/>
          </w:tcPr>
          <w:p>
            <w:pPr>
              <w:pStyle w:val="15"/>
              <w:wordWrap w:val="0"/>
              <w:rPr>
                <w:sz w:val="24"/>
              </w:rPr>
            </w:pPr>
          </w:p>
          <w:p>
            <w:pPr>
              <w:pStyle w:val="15"/>
              <w:wordWrap w:val="0"/>
              <w:spacing w:before="3"/>
            </w:pPr>
          </w:p>
          <w:p>
            <w:pPr>
              <w:pStyle w:val="15"/>
              <w:wordWrap w:val="0"/>
              <w:spacing w:line="280" w:lineRule="auto"/>
              <w:ind w:left="345" w:right="336"/>
              <w:jc w:val="both"/>
              <w:rPr>
                <w:sz w:val="24"/>
              </w:rPr>
            </w:pPr>
            <w:r>
              <w:rPr>
                <w:sz w:val="24"/>
              </w:rPr>
              <w:t>技术分</w:t>
            </w:r>
          </w:p>
        </w:tc>
        <w:tc>
          <w:tcPr>
            <w:tcW w:w="1726" w:type="dxa"/>
          </w:tcPr>
          <w:p>
            <w:pPr>
              <w:pStyle w:val="15"/>
              <w:wordWrap w:val="0"/>
              <w:rPr>
                <w:sz w:val="24"/>
              </w:rPr>
            </w:pPr>
          </w:p>
          <w:p>
            <w:pPr>
              <w:pStyle w:val="15"/>
              <w:wordWrap w:val="0"/>
              <w:spacing w:before="11"/>
              <w:rPr>
                <w:sz w:val="21"/>
              </w:rPr>
            </w:pPr>
          </w:p>
          <w:p>
            <w:pPr>
              <w:pStyle w:val="15"/>
              <w:wordWrap w:val="0"/>
              <w:ind w:left="121" w:right="115"/>
              <w:jc w:val="center"/>
              <w:rPr>
                <w:sz w:val="24"/>
              </w:rPr>
            </w:pPr>
            <w:r>
              <w:rPr>
                <w:sz w:val="24"/>
              </w:rPr>
              <w:t>技术参数响应</w:t>
            </w:r>
          </w:p>
        </w:tc>
        <w:tc>
          <w:tcPr>
            <w:tcW w:w="711" w:type="dxa"/>
          </w:tcPr>
          <w:p>
            <w:pPr>
              <w:pStyle w:val="15"/>
              <w:wordWrap w:val="0"/>
              <w:rPr>
                <w:sz w:val="24"/>
              </w:rPr>
            </w:pPr>
          </w:p>
          <w:p>
            <w:pPr>
              <w:pStyle w:val="15"/>
              <w:wordWrap w:val="0"/>
              <w:spacing w:before="11"/>
              <w:rPr>
                <w:sz w:val="21"/>
              </w:rPr>
            </w:pPr>
          </w:p>
          <w:p>
            <w:pPr>
              <w:pStyle w:val="15"/>
              <w:wordWrap w:val="0"/>
              <w:ind w:left="92" w:right="88"/>
              <w:jc w:val="center"/>
              <w:rPr>
                <w:sz w:val="24"/>
              </w:rPr>
            </w:pPr>
            <w:r>
              <w:rPr>
                <w:sz w:val="24"/>
              </w:rPr>
              <w:t>36</w:t>
            </w:r>
          </w:p>
        </w:tc>
        <w:tc>
          <w:tcPr>
            <w:tcW w:w="6445" w:type="dxa"/>
          </w:tcPr>
          <w:p>
            <w:pPr>
              <w:pStyle w:val="15"/>
              <w:wordWrap w:val="0"/>
              <w:spacing w:before="48"/>
              <w:ind w:left="585" w:right="-29"/>
              <w:rPr>
                <w:sz w:val="24"/>
              </w:rPr>
            </w:pPr>
            <w:r>
              <w:rPr>
                <w:spacing w:val="3"/>
                <w:w w:val="95"/>
                <w:sz w:val="24"/>
              </w:rPr>
              <w:t xml:space="preserve">完全满足竞争性磋商文件技术指标要求得基准分 </w:t>
            </w:r>
            <w:r>
              <w:rPr>
                <w:w w:val="95"/>
                <w:sz w:val="24"/>
              </w:rPr>
              <w:t>26</w:t>
            </w:r>
            <w:r>
              <w:rPr>
                <w:spacing w:val="25"/>
                <w:w w:val="95"/>
                <w:sz w:val="24"/>
              </w:rPr>
              <w:t xml:space="preserve"> 分；</w:t>
            </w:r>
          </w:p>
          <w:p>
            <w:pPr>
              <w:pStyle w:val="15"/>
              <w:wordWrap w:val="0"/>
              <w:spacing w:before="52"/>
              <w:ind w:left="105"/>
              <w:rPr>
                <w:sz w:val="24"/>
              </w:rPr>
            </w:pPr>
            <w:r>
              <w:rPr>
                <w:spacing w:val="4"/>
                <w:w w:val="95"/>
                <w:sz w:val="24"/>
              </w:rPr>
              <w:t xml:space="preserve">有实质性正偏离每项加 </w:t>
            </w:r>
            <w:r>
              <w:rPr>
                <w:w w:val="95"/>
                <w:sz w:val="24"/>
              </w:rPr>
              <w:t>2</w:t>
            </w:r>
            <w:r>
              <w:rPr>
                <w:spacing w:val="6"/>
                <w:w w:val="95"/>
                <w:sz w:val="24"/>
              </w:rPr>
              <w:t xml:space="preserve"> 分，总分最高不超过 </w:t>
            </w:r>
            <w:r>
              <w:rPr>
                <w:w w:val="95"/>
                <w:sz w:val="24"/>
              </w:rPr>
              <w:t>36</w:t>
            </w:r>
            <w:r>
              <w:rPr>
                <w:spacing w:val="8"/>
                <w:w w:val="95"/>
                <w:sz w:val="24"/>
              </w:rPr>
              <w:t xml:space="preserve"> 分；有实</w:t>
            </w:r>
          </w:p>
          <w:p>
            <w:pPr>
              <w:pStyle w:val="15"/>
              <w:wordWrap w:val="0"/>
              <w:spacing w:line="360" w:lineRule="atLeast"/>
              <w:ind w:left="105" w:right="99"/>
              <w:rPr>
                <w:rFonts w:hint="eastAsia" w:eastAsiaTheme="minorEastAsia"/>
                <w:sz w:val="24"/>
              </w:rPr>
            </w:pPr>
            <w:r>
              <w:rPr>
                <w:spacing w:val="-9"/>
                <w:sz w:val="24"/>
              </w:rPr>
              <w:t xml:space="preserve">质性负偏离每项减 </w:t>
            </w:r>
            <w:r>
              <w:rPr>
                <w:spacing w:val="-1"/>
                <w:sz w:val="24"/>
              </w:rPr>
              <w:t>2</w:t>
            </w:r>
            <w:r>
              <w:rPr>
                <w:spacing w:val="-9"/>
                <w:sz w:val="24"/>
              </w:rPr>
              <w:t xml:space="preserve"> 分，减完为止。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934" w:type="dxa"/>
            <w:vMerge w:val="continue"/>
            <w:tcBorders>
              <w:top w:val="nil"/>
            </w:tcBorders>
          </w:tcPr>
          <w:p>
            <w:pPr>
              <w:wordWrap w:val="0"/>
              <w:rPr>
                <w:sz w:val="2"/>
                <w:szCs w:val="2"/>
              </w:rPr>
            </w:pPr>
          </w:p>
        </w:tc>
        <w:tc>
          <w:tcPr>
            <w:tcW w:w="1726" w:type="dxa"/>
          </w:tcPr>
          <w:p>
            <w:pPr>
              <w:pStyle w:val="15"/>
              <w:wordWrap w:val="0"/>
              <w:spacing w:before="9"/>
              <w:rPr>
                <w:sz w:val="17"/>
              </w:rPr>
            </w:pPr>
          </w:p>
          <w:p>
            <w:pPr>
              <w:pStyle w:val="15"/>
              <w:wordWrap w:val="0"/>
              <w:spacing w:before="1"/>
              <w:ind w:left="121" w:right="115"/>
              <w:jc w:val="center"/>
              <w:rPr>
                <w:sz w:val="24"/>
              </w:rPr>
            </w:pPr>
            <w:r>
              <w:rPr>
                <w:sz w:val="24"/>
              </w:rPr>
              <w:t>品牌影响力</w:t>
            </w:r>
          </w:p>
        </w:tc>
        <w:tc>
          <w:tcPr>
            <w:tcW w:w="711" w:type="dxa"/>
          </w:tcPr>
          <w:p>
            <w:pPr>
              <w:pStyle w:val="15"/>
              <w:wordWrap w:val="0"/>
              <w:spacing w:before="9"/>
              <w:rPr>
                <w:sz w:val="17"/>
              </w:rPr>
            </w:pPr>
          </w:p>
          <w:p>
            <w:pPr>
              <w:pStyle w:val="15"/>
              <w:wordWrap w:val="0"/>
              <w:spacing w:before="1"/>
              <w:ind w:left="4"/>
              <w:jc w:val="center"/>
              <w:rPr>
                <w:sz w:val="24"/>
              </w:rPr>
            </w:pPr>
            <w:r>
              <w:rPr>
                <w:sz w:val="24"/>
              </w:rPr>
              <w:t>6</w:t>
            </w:r>
          </w:p>
        </w:tc>
        <w:tc>
          <w:tcPr>
            <w:tcW w:w="6445" w:type="dxa"/>
          </w:tcPr>
          <w:p>
            <w:pPr>
              <w:pStyle w:val="15"/>
              <w:wordWrap w:val="0"/>
              <w:spacing w:before="47"/>
              <w:ind w:right="107"/>
              <w:jc w:val="right"/>
              <w:rPr>
                <w:sz w:val="24"/>
              </w:rPr>
            </w:pPr>
            <w:r>
              <w:rPr>
                <w:sz w:val="24"/>
              </w:rPr>
              <w:t>根据响应供应商所投产品品牌在行业内的评价、影响</w:t>
            </w:r>
          </w:p>
          <w:p>
            <w:pPr>
              <w:pStyle w:val="15"/>
              <w:wordWrap w:val="0"/>
              <w:spacing w:before="53" w:line="294" w:lineRule="exact"/>
              <w:ind w:right="97"/>
              <w:jc w:val="right"/>
              <w:rPr>
                <w:sz w:val="24"/>
              </w:rPr>
            </w:pPr>
            <w:r>
              <w:rPr>
                <w:spacing w:val="-1"/>
                <w:sz w:val="24"/>
              </w:rPr>
              <w:t>力、市场占有率等情况评分。需提供相应产品或品牌获得的</w:t>
            </w:r>
          </w:p>
        </w:tc>
      </w:tr>
    </w:tbl>
    <w:p>
      <w:pPr>
        <w:wordWrap w:val="0"/>
        <w:spacing w:line="294" w:lineRule="exact"/>
        <w:jc w:val="right"/>
        <w:rPr>
          <w:sz w:val="24"/>
        </w:rPr>
        <w:sectPr>
          <w:headerReference r:id="rId5" w:type="default"/>
          <w:footerReference r:id="rId6" w:type="default"/>
          <w:pgSz w:w="11910" w:h="16840"/>
          <w:pgMar w:top="1280" w:right="840" w:bottom="960" w:left="1020" w:header="877" w:footer="770" w:gutter="0"/>
          <w:cols w:space="720" w:num="1"/>
        </w:sectPr>
      </w:pPr>
    </w:p>
    <w:p>
      <w:pPr>
        <w:pStyle w:val="2"/>
        <w:wordWrap w:val="0"/>
        <w:spacing w:before="10"/>
        <w:rPr>
          <w:sz w:val="3"/>
        </w:rPr>
      </w:pPr>
    </w:p>
    <w:tbl>
      <w:tblPr>
        <w:tblStyle w:val="9"/>
        <w:tblW w:w="0" w:type="auto"/>
        <w:tblInd w:w="12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34"/>
        <w:gridCol w:w="1726"/>
        <w:gridCol w:w="711"/>
        <w:gridCol w:w="644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934" w:type="dxa"/>
            <w:tcBorders>
              <w:left w:val="single" w:color="000000" w:sz="4" w:space="0"/>
              <w:bottom w:val="single" w:color="000000" w:sz="4" w:space="0"/>
              <w:right w:val="single" w:color="000000" w:sz="4" w:space="0"/>
            </w:tcBorders>
          </w:tcPr>
          <w:p>
            <w:pPr>
              <w:pStyle w:val="15"/>
              <w:wordWrap w:val="0"/>
              <w:rPr>
                <w:rFonts w:ascii="Times New Roman"/>
              </w:rPr>
            </w:pPr>
          </w:p>
        </w:tc>
        <w:tc>
          <w:tcPr>
            <w:tcW w:w="1726" w:type="dxa"/>
            <w:tcBorders>
              <w:left w:val="single" w:color="000000" w:sz="4" w:space="0"/>
              <w:bottom w:val="single" w:color="000000" w:sz="4" w:space="0"/>
              <w:right w:val="single" w:color="000000" w:sz="4" w:space="0"/>
            </w:tcBorders>
          </w:tcPr>
          <w:p>
            <w:pPr>
              <w:pStyle w:val="15"/>
              <w:wordWrap w:val="0"/>
              <w:rPr>
                <w:rFonts w:ascii="Times New Roman"/>
              </w:rPr>
            </w:pPr>
          </w:p>
        </w:tc>
        <w:tc>
          <w:tcPr>
            <w:tcW w:w="711" w:type="dxa"/>
            <w:tcBorders>
              <w:left w:val="single" w:color="000000" w:sz="4" w:space="0"/>
              <w:bottom w:val="single" w:color="000000" w:sz="4" w:space="0"/>
              <w:right w:val="single" w:color="000000" w:sz="4" w:space="0"/>
            </w:tcBorders>
          </w:tcPr>
          <w:p>
            <w:pPr>
              <w:pStyle w:val="15"/>
              <w:wordWrap w:val="0"/>
              <w:rPr>
                <w:rFonts w:ascii="Times New Roman"/>
              </w:rPr>
            </w:pPr>
          </w:p>
        </w:tc>
        <w:tc>
          <w:tcPr>
            <w:tcW w:w="6445" w:type="dxa"/>
            <w:tcBorders>
              <w:left w:val="single" w:color="000000" w:sz="4" w:space="0"/>
              <w:bottom w:val="single" w:color="000000" w:sz="4" w:space="0"/>
              <w:right w:val="single" w:color="000000" w:sz="4" w:space="0"/>
            </w:tcBorders>
          </w:tcPr>
          <w:p>
            <w:pPr>
              <w:pStyle w:val="15"/>
              <w:wordWrap w:val="0"/>
              <w:spacing w:before="45"/>
              <w:ind w:left="105"/>
              <w:rPr>
                <w:sz w:val="24"/>
              </w:rPr>
            </w:pPr>
            <w:r>
              <w:rPr>
                <w:sz w:val="24"/>
              </w:rPr>
              <w:t>荣誉、奖项、认证证书等。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20" w:hRule="atLeast"/>
        </w:trPr>
        <w:tc>
          <w:tcPr>
            <w:tcW w:w="934" w:type="dxa"/>
            <w:vMerge w:val="restart"/>
            <w:tcBorders>
              <w:top w:val="single" w:color="000000" w:sz="4" w:space="0"/>
              <w:left w:val="single" w:color="000000" w:sz="4" w:space="0"/>
              <w:bottom w:val="single" w:color="000000" w:sz="4" w:space="0"/>
              <w:right w:val="single" w:color="000000" w:sz="4" w:space="0"/>
            </w:tcBorders>
          </w:tcPr>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spacing w:before="8"/>
              <w:rPr>
                <w:sz w:val="18"/>
              </w:rPr>
            </w:pPr>
          </w:p>
          <w:p>
            <w:pPr>
              <w:pStyle w:val="15"/>
              <w:wordWrap w:val="0"/>
              <w:spacing w:line="328" w:lineRule="auto"/>
              <w:ind w:left="345" w:right="336"/>
              <w:jc w:val="both"/>
              <w:rPr>
                <w:sz w:val="24"/>
              </w:rPr>
            </w:pPr>
            <w:r>
              <w:rPr>
                <w:sz w:val="24"/>
              </w:rPr>
              <w:t>商务分</w:t>
            </w:r>
          </w:p>
        </w:tc>
        <w:tc>
          <w:tcPr>
            <w:tcW w:w="1726" w:type="dxa"/>
            <w:tcBorders>
              <w:top w:val="single" w:color="000000" w:sz="4" w:space="0"/>
              <w:left w:val="single" w:color="000000" w:sz="4" w:space="0"/>
              <w:bottom w:val="single" w:color="000000" w:sz="4" w:space="0"/>
              <w:right w:val="single" w:color="000000" w:sz="4" w:space="0"/>
            </w:tcBorders>
          </w:tcPr>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spacing w:before="183"/>
              <w:ind w:left="121" w:right="115"/>
              <w:jc w:val="center"/>
              <w:rPr>
                <w:sz w:val="24"/>
              </w:rPr>
            </w:pPr>
            <w:r>
              <w:rPr>
                <w:sz w:val="24"/>
              </w:rPr>
              <w:t>设备业绩</w:t>
            </w:r>
          </w:p>
        </w:tc>
        <w:tc>
          <w:tcPr>
            <w:tcW w:w="711" w:type="dxa"/>
            <w:tcBorders>
              <w:top w:val="single" w:color="000000" w:sz="4" w:space="0"/>
              <w:left w:val="single" w:color="000000" w:sz="4" w:space="0"/>
              <w:bottom w:val="single" w:color="000000" w:sz="4" w:space="0"/>
              <w:right w:val="single" w:color="000000" w:sz="4" w:space="0"/>
            </w:tcBorders>
          </w:tcPr>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rPr>
                <w:sz w:val="24"/>
              </w:rPr>
            </w:pPr>
          </w:p>
          <w:p>
            <w:pPr>
              <w:pStyle w:val="15"/>
              <w:wordWrap w:val="0"/>
              <w:spacing w:before="183"/>
              <w:ind w:left="232"/>
              <w:rPr>
                <w:sz w:val="24"/>
              </w:rPr>
            </w:pPr>
            <w:r>
              <w:rPr>
                <w:sz w:val="24"/>
              </w:rPr>
              <w:t>12</w:t>
            </w:r>
          </w:p>
        </w:tc>
        <w:tc>
          <w:tcPr>
            <w:tcW w:w="6445" w:type="dxa"/>
            <w:tcBorders>
              <w:top w:val="single" w:color="000000" w:sz="4" w:space="0"/>
              <w:left w:val="single" w:color="000000" w:sz="4" w:space="0"/>
              <w:bottom w:val="single" w:color="000000" w:sz="4" w:space="0"/>
              <w:right w:val="single" w:color="000000" w:sz="4" w:space="0"/>
            </w:tcBorders>
          </w:tcPr>
          <w:p>
            <w:pPr>
              <w:pStyle w:val="15"/>
              <w:numPr>
                <w:ilvl w:val="0"/>
                <w:numId w:val="30"/>
              </w:numPr>
              <w:tabs>
                <w:tab w:val="left" w:pos="346"/>
              </w:tabs>
              <w:wordWrap w:val="0"/>
              <w:spacing w:line="409" w:lineRule="exact"/>
              <w:rPr>
                <w:sz w:val="24"/>
              </w:rPr>
            </w:pPr>
            <w:r>
              <w:rPr>
                <w:w w:val="95"/>
                <w:sz w:val="24"/>
              </w:rPr>
              <w:t>根据本次</w:t>
            </w:r>
            <w:r>
              <w:rPr>
                <w:rFonts w:hint="eastAsia" w:ascii="Microsoft YaHei UI" w:eastAsia="Microsoft YaHei UI"/>
                <w:b/>
                <w:w w:val="95"/>
                <w:sz w:val="24"/>
              </w:rPr>
              <w:t>所投产品相同品牌型号的</w:t>
            </w:r>
            <w:r>
              <w:rPr>
                <w:spacing w:val="-11"/>
                <w:w w:val="95"/>
                <w:sz w:val="24"/>
              </w:rPr>
              <w:t>销售业绩评分，以</w:t>
            </w:r>
            <w:r>
              <w:rPr>
                <w:spacing w:val="247"/>
                <w:sz w:val="24"/>
              </w:rPr>
              <w:t xml:space="preserve"> </w:t>
            </w:r>
            <w:r>
              <w:rPr>
                <w:w w:val="95"/>
                <w:sz w:val="24"/>
              </w:rPr>
              <w:t>2018</w:t>
            </w:r>
          </w:p>
          <w:p>
            <w:pPr>
              <w:pStyle w:val="15"/>
              <w:wordWrap w:val="0"/>
              <w:spacing w:line="306" w:lineRule="exact"/>
              <w:ind w:left="105"/>
              <w:rPr>
                <w:sz w:val="24"/>
              </w:rPr>
            </w:pPr>
            <w:r>
              <w:rPr>
                <w:spacing w:val="-31"/>
                <w:sz w:val="24"/>
              </w:rPr>
              <w:t xml:space="preserve">年 </w:t>
            </w:r>
            <w:r>
              <w:rPr>
                <w:spacing w:val="-1"/>
                <w:sz w:val="24"/>
              </w:rPr>
              <w:t>1</w:t>
            </w:r>
            <w:r>
              <w:rPr>
                <w:spacing w:val="-41"/>
                <w:sz w:val="24"/>
              </w:rPr>
              <w:t xml:space="preserve"> 月 </w:t>
            </w:r>
            <w:r>
              <w:rPr>
                <w:spacing w:val="-1"/>
                <w:sz w:val="24"/>
              </w:rPr>
              <w:t>1</w:t>
            </w:r>
            <w:r>
              <w:rPr>
                <w:spacing w:val="-16"/>
                <w:sz w:val="24"/>
              </w:rPr>
              <w:t xml:space="preserve"> 日以来</w:t>
            </w:r>
            <w:r>
              <w:rPr>
                <w:spacing w:val="-1"/>
                <w:sz w:val="24"/>
              </w:rPr>
              <w:t>（以合同签订日期为准</w:t>
            </w:r>
            <w:r>
              <w:rPr>
                <w:sz w:val="24"/>
              </w:rPr>
              <w:t>）任意供应商已签订</w:t>
            </w:r>
          </w:p>
          <w:p>
            <w:pPr>
              <w:pStyle w:val="15"/>
              <w:wordWrap w:val="0"/>
              <w:spacing w:before="52"/>
              <w:ind w:left="105" w:right="-29"/>
              <w:rPr>
                <w:sz w:val="24"/>
              </w:rPr>
            </w:pPr>
            <w:r>
              <w:rPr>
                <w:spacing w:val="-7"/>
                <w:w w:val="95"/>
                <w:sz w:val="24"/>
              </w:rPr>
              <w:t xml:space="preserve">的业绩合同复印件为准，与三甲医院签订的每有一个得 </w:t>
            </w:r>
            <w:r>
              <w:rPr>
                <w:w w:val="95"/>
                <w:sz w:val="24"/>
              </w:rPr>
              <w:t>1</w:t>
            </w:r>
            <w:r>
              <w:rPr>
                <w:spacing w:val="31"/>
                <w:w w:val="95"/>
                <w:sz w:val="24"/>
              </w:rPr>
              <w:t xml:space="preserve"> 分，</w:t>
            </w:r>
          </w:p>
          <w:p>
            <w:pPr>
              <w:pStyle w:val="15"/>
              <w:wordWrap w:val="0"/>
              <w:spacing w:before="53"/>
              <w:ind w:left="105"/>
              <w:rPr>
                <w:sz w:val="24"/>
              </w:rPr>
            </w:pPr>
            <w:r>
              <w:rPr>
                <w:spacing w:val="4"/>
                <w:w w:val="95"/>
                <w:sz w:val="24"/>
              </w:rPr>
              <w:t xml:space="preserve">与三甲以下医院及其他医疗机构签订的每有一个得 </w:t>
            </w:r>
            <w:r>
              <w:rPr>
                <w:w w:val="95"/>
                <w:sz w:val="24"/>
              </w:rPr>
              <w:t>0.5</w:t>
            </w:r>
            <w:r>
              <w:rPr>
                <w:spacing w:val="32"/>
                <w:w w:val="95"/>
                <w:sz w:val="24"/>
              </w:rPr>
              <w:t xml:space="preserve"> 分。</w:t>
            </w:r>
          </w:p>
          <w:p>
            <w:pPr>
              <w:pStyle w:val="15"/>
              <w:wordWrap w:val="0"/>
              <w:spacing w:before="52" w:line="301" w:lineRule="exact"/>
              <w:ind w:left="105"/>
              <w:rPr>
                <w:sz w:val="24"/>
              </w:rPr>
            </w:pPr>
            <w:r>
              <w:rPr>
                <w:spacing w:val="-15"/>
                <w:sz w:val="24"/>
              </w:rPr>
              <w:t xml:space="preserve">最高得 </w:t>
            </w:r>
            <w:r>
              <w:rPr>
                <w:sz w:val="24"/>
              </w:rPr>
              <w:t>6</w:t>
            </w:r>
            <w:r>
              <w:rPr>
                <w:spacing w:val="-20"/>
                <w:sz w:val="24"/>
              </w:rPr>
              <w:t xml:space="preserve"> 分；</w:t>
            </w:r>
          </w:p>
          <w:p>
            <w:pPr>
              <w:pStyle w:val="15"/>
              <w:numPr>
                <w:ilvl w:val="0"/>
                <w:numId w:val="30"/>
              </w:numPr>
              <w:tabs>
                <w:tab w:val="left" w:pos="346"/>
              </w:tabs>
              <w:wordWrap w:val="0"/>
              <w:spacing w:before="28" w:line="213" w:lineRule="auto"/>
              <w:ind w:left="105" w:right="73" w:firstLine="0"/>
              <w:rPr>
                <w:sz w:val="24"/>
              </w:rPr>
            </w:pPr>
            <w:r>
              <w:rPr>
                <w:sz w:val="24"/>
              </w:rPr>
              <w:t>根据</w:t>
            </w:r>
            <w:r>
              <w:rPr>
                <w:rFonts w:hint="eastAsia" w:ascii="Microsoft YaHei UI" w:eastAsia="Microsoft YaHei UI"/>
                <w:b/>
                <w:sz w:val="24"/>
              </w:rPr>
              <w:t>响应人</w:t>
            </w:r>
            <w:r>
              <w:rPr>
                <w:sz w:val="24"/>
              </w:rPr>
              <w:t>本次</w:t>
            </w:r>
            <w:r>
              <w:rPr>
                <w:rFonts w:hint="eastAsia" w:ascii="Microsoft YaHei UI" w:eastAsia="Microsoft YaHei UI"/>
                <w:b/>
                <w:sz w:val="24"/>
              </w:rPr>
              <w:t>所投产品相同品牌型号的</w:t>
            </w:r>
            <w:r>
              <w:rPr>
                <w:sz w:val="24"/>
              </w:rPr>
              <w:t>销售业绩评分，</w:t>
            </w:r>
            <w:r>
              <w:rPr>
                <w:spacing w:val="-117"/>
                <w:sz w:val="24"/>
              </w:rPr>
              <w:t xml:space="preserve"> </w:t>
            </w:r>
            <w:r>
              <w:rPr>
                <w:spacing w:val="-30"/>
                <w:sz w:val="24"/>
              </w:rPr>
              <w:t xml:space="preserve">以 </w:t>
            </w:r>
            <w:r>
              <w:rPr>
                <w:sz w:val="24"/>
              </w:rPr>
              <w:t>2018</w:t>
            </w:r>
            <w:r>
              <w:rPr>
                <w:spacing w:val="-40"/>
                <w:sz w:val="24"/>
              </w:rPr>
              <w:t xml:space="preserve"> 年 </w:t>
            </w:r>
            <w:r>
              <w:rPr>
                <w:sz w:val="24"/>
              </w:rPr>
              <w:t>1</w:t>
            </w:r>
            <w:r>
              <w:rPr>
                <w:spacing w:val="-40"/>
                <w:sz w:val="24"/>
              </w:rPr>
              <w:t xml:space="preserve"> 月 </w:t>
            </w:r>
            <w:r>
              <w:rPr>
                <w:sz w:val="24"/>
              </w:rPr>
              <w:t>1</w:t>
            </w:r>
            <w:r>
              <w:rPr>
                <w:spacing w:val="-15"/>
                <w:sz w:val="24"/>
              </w:rPr>
              <w:t xml:space="preserve"> 日以来</w:t>
            </w:r>
            <w:r>
              <w:rPr>
                <w:sz w:val="24"/>
              </w:rPr>
              <w:t>（以合同签订日期为准）</w:t>
            </w:r>
            <w:r>
              <w:rPr>
                <w:rFonts w:hint="eastAsia" w:ascii="Microsoft YaHei UI" w:eastAsia="Microsoft YaHei UI"/>
                <w:b/>
                <w:sz w:val="24"/>
              </w:rPr>
              <w:t>响应人已签订的</w:t>
            </w:r>
            <w:r>
              <w:rPr>
                <w:sz w:val="24"/>
              </w:rPr>
              <w:t>业绩合同复印件为准，响应人与三甲医院签订的每有</w:t>
            </w:r>
            <w:r>
              <w:rPr>
                <w:spacing w:val="-16"/>
                <w:sz w:val="24"/>
              </w:rPr>
              <w:t xml:space="preserve">一个得 </w:t>
            </w:r>
            <w:r>
              <w:rPr>
                <w:spacing w:val="-1"/>
                <w:sz w:val="24"/>
              </w:rPr>
              <w:t>1</w:t>
            </w:r>
            <w:r>
              <w:rPr>
                <w:spacing w:val="-9"/>
                <w:sz w:val="24"/>
              </w:rPr>
              <w:t xml:space="preserve"> 分，响应人与三甲以下医院及其他医疗机构签订的</w:t>
            </w:r>
          </w:p>
          <w:p>
            <w:pPr>
              <w:pStyle w:val="15"/>
              <w:wordWrap w:val="0"/>
              <w:spacing w:before="58"/>
              <w:ind w:left="105"/>
              <w:rPr>
                <w:sz w:val="24"/>
              </w:rPr>
            </w:pPr>
            <w:r>
              <w:rPr>
                <w:spacing w:val="-3"/>
                <w:w w:val="95"/>
                <w:sz w:val="24"/>
              </w:rPr>
              <w:t xml:space="preserve">每有一个得 </w:t>
            </w:r>
            <w:r>
              <w:rPr>
                <w:w w:val="95"/>
                <w:sz w:val="24"/>
              </w:rPr>
              <w:t>0.5</w:t>
            </w:r>
            <w:r>
              <w:rPr>
                <w:spacing w:val="-5"/>
                <w:w w:val="95"/>
                <w:sz w:val="24"/>
              </w:rPr>
              <w:t xml:space="preserve"> 分。最高得 </w:t>
            </w:r>
            <w:r>
              <w:rPr>
                <w:w w:val="95"/>
                <w:sz w:val="24"/>
              </w:rPr>
              <w:t>6</w:t>
            </w:r>
            <w:r>
              <w:rPr>
                <w:spacing w:val="-4"/>
                <w:w w:val="95"/>
                <w:sz w:val="24"/>
              </w:rPr>
              <w:t xml:space="preserve"> 分；</w:t>
            </w:r>
          </w:p>
          <w:p>
            <w:pPr>
              <w:pStyle w:val="15"/>
              <w:wordWrap w:val="0"/>
              <w:spacing w:line="360" w:lineRule="atLeast"/>
              <w:ind w:left="105" w:right="100"/>
              <w:rPr>
                <w:sz w:val="24"/>
              </w:rPr>
            </w:pPr>
            <w:r>
              <w:rPr>
                <w:spacing w:val="-1"/>
                <w:sz w:val="24"/>
              </w:rPr>
              <w:t>注：合同及发票的内容、标的、数量、金额、时间等需清晰</w:t>
            </w:r>
            <w:r>
              <w:rPr>
                <w:sz w:val="24"/>
              </w:rPr>
              <w:t>可见，否则不作为得分依据。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2"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5"/>
              <w:wordWrap w:val="0"/>
              <w:spacing w:before="12"/>
              <w:rPr>
                <w:sz w:val="17"/>
              </w:rPr>
            </w:pPr>
          </w:p>
          <w:p>
            <w:pPr>
              <w:pStyle w:val="15"/>
              <w:wordWrap w:val="0"/>
              <w:ind w:left="121" w:right="115"/>
              <w:jc w:val="center"/>
              <w:rPr>
                <w:sz w:val="24"/>
              </w:rPr>
            </w:pPr>
            <w:r>
              <w:rPr>
                <w:sz w:val="24"/>
              </w:rPr>
              <w:t>质保承诺</w:t>
            </w:r>
          </w:p>
        </w:tc>
        <w:tc>
          <w:tcPr>
            <w:tcW w:w="711" w:type="dxa"/>
            <w:tcBorders>
              <w:top w:val="single" w:color="000000" w:sz="4" w:space="0"/>
              <w:left w:val="single" w:color="000000" w:sz="4" w:space="0"/>
              <w:bottom w:val="single" w:color="000000" w:sz="4" w:space="0"/>
              <w:right w:val="single" w:color="000000" w:sz="4" w:space="0"/>
            </w:tcBorders>
          </w:tcPr>
          <w:p>
            <w:pPr>
              <w:pStyle w:val="15"/>
              <w:wordWrap w:val="0"/>
              <w:spacing w:before="12"/>
              <w:rPr>
                <w:sz w:val="17"/>
              </w:rPr>
            </w:pPr>
          </w:p>
          <w:p>
            <w:pPr>
              <w:pStyle w:val="15"/>
              <w:wordWrap w:val="0"/>
              <w:ind w:left="4"/>
              <w:jc w:val="center"/>
              <w:rPr>
                <w:rFonts w:hint="eastAsia" w:eastAsiaTheme="minorEastAsia"/>
                <w:sz w:val="24"/>
              </w:rPr>
            </w:pPr>
            <w:r>
              <w:rPr>
                <w:rFonts w:hint="eastAsia" w:eastAsiaTheme="minorEastAsia"/>
                <w:sz w:val="24"/>
              </w:rPr>
              <w:t>5</w:t>
            </w:r>
          </w:p>
        </w:tc>
        <w:tc>
          <w:tcPr>
            <w:tcW w:w="6445" w:type="dxa"/>
            <w:tcBorders>
              <w:top w:val="single" w:color="000000" w:sz="4" w:space="0"/>
              <w:left w:val="single" w:color="000000" w:sz="4" w:space="0"/>
              <w:bottom w:val="single" w:color="000000" w:sz="4" w:space="0"/>
              <w:right w:val="single" w:color="000000" w:sz="4" w:space="0"/>
            </w:tcBorders>
          </w:tcPr>
          <w:p>
            <w:pPr>
              <w:pStyle w:val="15"/>
              <w:wordWrap w:val="0"/>
              <w:spacing w:before="50"/>
              <w:ind w:left="105"/>
              <w:rPr>
                <w:sz w:val="24"/>
              </w:rPr>
            </w:pPr>
            <w:r>
              <w:rPr>
                <w:rFonts w:hint="eastAsia" w:eastAsiaTheme="minorEastAsia"/>
                <w:spacing w:val="-1"/>
                <w:sz w:val="24"/>
              </w:rPr>
              <w:t>满足两年免费整机质保得2分</w:t>
            </w:r>
            <w:r>
              <w:rPr>
                <w:spacing w:val="-1"/>
                <w:sz w:val="24"/>
              </w:rPr>
              <w:t xml:space="preserve">，每增加一年免费质保加 </w:t>
            </w:r>
            <w:r>
              <w:rPr>
                <w:sz w:val="24"/>
              </w:rPr>
              <w:t>2</w:t>
            </w:r>
          </w:p>
          <w:p>
            <w:pPr>
              <w:pStyle w:val="15"/>
              <w:wordWrap w:val="0"/>
              <w:spacing w:before="52" w:line="292" w:lineRule="exact"/>
              <w:ind w:left="105"/>
              <w:rPr>
                <w:sz w:val="24"/>
              </w:rPr>
            </w:pPr>
            <w:r>
              <w:rPr>
                <w:spacing w:val="-8"/>
                <w:sz w:val="24"/>
              </w:rPr>
              <w:t xml:space="preserve">分，本项最高得 </w:t>
            </w:r>
            <w:r>
              <w:rPr>
                <w:sz w:val="24"/>
              </w:rPr>
              <w:t>4</w:t>
            </w:r>
            <w:r>
              <w:rPr>
                <w:spacing w:val="-30"/>
                <w:sz w:val="24"/>
              </w:rPr>
              <w:t xml:space="preserve"> 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80"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5"/>
              <w:wordWrap w:val="0"/>
              <w:rPr>
                <w:sz w:val="24"/>
              </w:rPr>
            </w:pPr>
          </w:p>
          <w:p>
            <w:pPr>
              <w:pStyle w:val="15"/>
              <w:wordWrap w:val="0"/>
              <w:rPr>
                <w:sz w:val="24"/>
              </w:rPr>
            </w:pPr>
          </w:p>
          <w:p>
            <w:pPr>
              <w:pStyle w:val="15"/>
              <w:wordWrap w:val="0"/>
              <w:rPr>
                <w:sz w:val="24"/>
              </w:rPr>
            </w:pPr>
          </w:p>
          <w:p>
            <w:pPr>
              <w:pStyle w:val="15"/>
              <w:wordWrap w:val="0"/>
              <w:spacing w:before="205" w:line="280" w:lineRule="auto"/>
              <w:ind w:left="741" w:right="132" w:hanging="600"/>
              <w:rPr>
                <w:sz w:val="24"/>
              </w:rPr>
            </w:pPr>
            <w:r>
              <w:rPr>
                <w:spacing w:val="-1"/>
                <w:sz w:val="24"/>
              </w:rPr>
              <w:t>售后及培训方</w:t>
            </w:r>
            <w:r>
              <w:rPr>
                <w:sz w:val="24"/>
              </w:rPr>
              <w:t>案</w:t>
            </w:r>
          </w:p>
        </w:tc>
        <w:tc>
          <w:tcPr>
            <w:tcW w:w="711" w:type="dxa"/>
            <w:tcBorders>
              <w:top w:val="single" w:color="000000" w:sz="4" w:space="0"/>
              <w:left w:val="single" w:color="000000" w:sz="4" w:space="0"/>
              <w:bottom w:val="single" w:color="000000" w:sz="4" w:space="0"/>
              <w:right w:val="single" w:color="000000" w:sz="4" w:space="0"/>
            </w:tcBorders>
          </w:tcPr>
          <w:p>
            <w:pPr>
              <w:pStyle w:val="15"/>
              <w:wordWrap w:val="0"/>
              <w:rPr>
                <w:sz w:val="24"/>
              </w:rPr>
            </w:pPr>
          </w:p>
          <w:p>
            <w:pPr>
              <w:pStyle w:val="15"/>
              <w:wordWrap w:val="0"/>
              <w:rPr>
                <w:sz w:val="24"/>
              </w:rPr>
            </w:pPr>
          </w:p>
          <w:p>
            <w:pPr>
              <w:pStyle w:val="15"/>
              <w:wordWrap w:val="0"/>
              <w:rPr>
                <w:sz w:val="24"/>
              </w:rPr>
            </w:pPr>
          </w:p>
          <w:p>
            <w:pPr>
              <w:pStyle w:val="15"/>
              <w:wordWrap w:val="0"/>
              <w:rPr>
                <w:sz w:val="30"/>
              </w:rPr>
            </w:pPr>
          </w:p>
          <w:p>
            <w:pPr>
              <w:pStyle w:val="15"/>
              <w:wordWrap w:val="0"/>
              <w:spacing w:before="1"/>
              <w:ind w:left="4"/>
              <w:jc w:val="center"/>
              <w:rPr>
                <w:rFonts w:hint="eastAsia" w:eastAsiaTheme="minorEastAsia"/>
                <w:sz w:val="24"/>
              </w:rPr>
            </w:pPr>
            <w:r>
              <w:rPr>
                <w:rFonts w:hint="eastAsia" w:eastAsiaTheme="minorEastAsia"/>
                <w:sz w:val="24"/>
              </w:rPr>
              <w:t>5</w:t>
            </w:r>
          </w:p>
        </w:tc>
        <w:tc>
          <w:tcPr>
            <w:tcW w:w="6445" w:type="dxa"/>
            <w:tcBorders>
              <w:top w:val="single" w:color="000000" w:sz="4" w:space="0"/>
              <w:left w:val="single" w:color="000000" w:sz="4" w:space="0"/>
              <w:bottom w:val="single" w:color="000000" w:sz="4" w:space="0"/>
              <w:right w:val="single" w:color="000000" w:sz="4" w:space="0"/>
            </w:tcBorders>
          </w:tcPr>
          <w:p>
            <w:pPr>
              <w:pStyle w:val="15"/>
              <w:wordWrap w:val="0"/>
              <w:spacing w:before="48" w:line="280" w:lineRule="auto"/>
              <w:ind w:left="105" w:right="89"/>
              <w:jc w:val="both"/>
              <w:rPr>
                <w:sz w:val="24"/>
              </w:rPr>
            </w:pPr>
            <w:r>
              <w:rPr>
                <w:sz w:val="24"/>
              </w:rPr>
              <w:t>根据响应文件中售后服务方案对采购文件服务要求的响应</w:t>
            </w:r>
            <w:r>
              <w:rPr>
                <w:spacing w:val="1"/>
                <w:sz w:val="24"/>
              </w:rPr>
              <w:t xml:space="preserve"> </w:t>
            </w:r>
            <w:r>
              <w:rPr>
                <w:spacing w:val="-1"/>
                <w:sz w:val="24"/>
              </w:rPr>
              <w:t>程度进行评分，主要包括以下评审要素：售后服务范围、故障处理速度及应急预案、巡检次数、培训方式、培训次数、</w:t>
            </w:r>
            <w:r>
              <w:rPr>
                <w:sz w:val="24"/>
              </w:rPr>
              <w:t>维保人员配备、软件升级等。</w:t>
            </w:r>
          </w:p>
          <w:p>
            <w:pPr>
              <w:pStyle w:val="15"/>
              <w:numPr>
                <w:ilvl w:val="0"/>
                <w:numId w:val="31"/>
              </w:numPr>
              <w:tabs>
                <w:tab w:val="left" w:pos="346"/>
              </w:tabs>
              <w:wordWrap w:val="0"/>
              <w:spacing w:line="280" w:lineRule="auto"/>
              <w:ind w:right="97" w:firstLine="0"/>
              <w:jc w:val="both"/>
              <w:rPr>
                <w:sz w:val="24"/>
              </w:rPr>
            </w:pPr>
            <w:r>
              <w:rPr>
                <w:spacing w:val="-1"/>
                <w:sz w:val="24"/>
              </w:rPr>
              <w:t>横向对比售后服务范围响应全面性、时间的迅速性，根据</w:t>
            </w:r>
            <w:r>
              <w:rPr>
                <w:spacing w:val="-10"/>
                <w:sz w:val="24"/>
              </w:rPr>
              <w:t xml:space="preserve">响应程度得 </w:t>
            </w:r>
            <w:r>
              <w:rPr>
                <w:sz w:val="24"/>
              </w:rPr>
              <w:t>3-0</w:t>
            </w:r>
            <w:r>
              <w:rPr>
                <w:spacing w:val="-20"/>
                <w:sz w:val="24"/>
              </w:rPr>
              <w:t xml:space="preserve"> 分；</w:t>
            </w:r>
          </w:p>
          <w:p>
            <w:pPr>
              <w:pStyle w:val="15"/>
              <w:numPr>
                <w:ilvl w:val="0"/>
                <w:numId w:val="31"/>
              </w:numPr>
              <w:tabs>
                <w:tab w:val="left" w:pos="346"/>
              </w:tabs>
              <w:wordWrap w:val="0"/>
              <w:spacing w:before="1"/>
              <w:ind w:left="346"/>
              <w:rPr>
                <w:sz w:val="24"/>
              </w:rPr>
            </w:pPr>
            <w:r>
              <w:rPr>
                <w:spacing w:val="-1"/>
                <w:sz w:val="24"/>
              </w:rPr>
              <w:t>横向对比培训及巡检方案设计、次数、方式，根据方案科</w:t>
            </w:r>
          </w:p>
          <w:p>
            <w:pPr>
              <w:pStyle w:val="15"/>
              <w:wordWrap w:val="0"/>
              <w:spacing w:before="53" w:line="292" w:lineRule="exact"/>
              <w:ind w:left="105" w:right="-29"/>
              <w:rPr>
                <w:sz w:val="24"/>
              </w:rPr>
            </w:pPr>
            <w:r>
              <w:rPr>
                <w:spacing w:val="-9"/>
                <w:w w:val="95"/>
                <w:sz w:val="24"/>
              </w:rPr>
              <w:t xml:space="preserve">学合理性、培训及巡检的次数、方式是否利于操作得 </w:t>
            </w:r>
            <w:r>
              <w:rPr>
                <w:rFonts w:hint="eastAsia" w:asciiTheme="minorEastAsia" w:hAnsiTheme="minorEastAsia" w:eastAsiaTheme="minorEastAsia"/>
                <w:w w:val="95"/>
                <w:sz w:val="24"/>
              </w:rPr>
              <w:t>2</w:t>
            </w:r>
            <w:r>
              <w:rPr>
                <w:w w:val="95"/>
                <w:sz w:val="24"/>
              </w:rPr>
              <w:t>-0</w:t>
            </w:r>
            <w:r>
              <w:rPr>
                <w:spacing w:val="32"/>
                <w:w w:val="95"/>
                <w:sz w:val="24"/>
              </w:rPr>
              <w:t xml:space="preserve"> 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9"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5"/>
              <w:wordWrap w:val="0"/>
              <w:spacing w:before="10"/>
              <w:rPr>
                <w:sz w:val="31"/>
              </w:rPr>
            </w:pPr>
          </w:p>
          <w:p>
            <w:pPr>
              <w:pStyle w:val="15"/>
              <w:wordWrap w:val="0"/>
              <w:ind w:left="121" w:right="115"/>
              <w:jc w:val="center"/>
              <w:rPr>
                <w:sz w:val="24"/>
              </w:rPr>
            </w:pPr>
            <w:r>
              <w:rPr>
                <w:sz w:val="24"/>
              </w:rPr>
              <w:t>供货期承诺</w:t>
            </w:r>
          </w:p>
        </w:tc>
        <w:tc>
          <w:tcPr>
            <w:tcW w:w="711" w:type="dxa"/>
            <w:tcBorders>
              <w:top w:val="single" w:color="000000" w:sz="4" w:space="0"/>
              <w:left w:val="single" w:color="000000" w:sz="4" w:space="0"/>
              <w:bottom w:val="single" w:color="000000" w:sz="4" w:space="0"/>
              <w:right w:val="single" w:color="000000" w:sz="4" w:space="0"/>
            </w:tcBorders>
          </w:tcPr>
          <w:p>
            <w:pPr>
              <w:pStyle w:val="15"/>
              <w:wordWrap w:val="0"/>
              <w:spacing w:before="10"/>
              <w:rPr>
                <w:sz w:val="31"/>
              </w:rPr>
            </w:pPr>
          </w:p>
          <w:p>
            <w:pPr>
              <w:pStyle w:val="15"/>
              <w:wordWrap w:val="0"/>
              <w:ind w:left="4"/>
              <w:jc w:val="center"/>
              <w:rPr>
                <w:sz w:val="24"/>
              </w:rPr>
            </w:pPr>
            <w:r>
              <w:rPr>
                <w:sz w:val="24"/>
              </w:rPr>
              <w:t>4</w:t>
            </w:r>
          </w:p>
        </w:tc>
        <w:tc>
          <w:tcPr>
            <w:tcW w:w="6445" w:type="dxa"/>
            <w:tcBorders>
              <w:top w:val="single" w:color="000000" w:sz="4" w:space="0"/>
              <w:left w:val="single" w:color="000000" w:sz="4" w:space="0"/>
              <w:bottom w:val="single" w:color="000000" w:sz="4" w:space="0"/>
              <w:right w:val="single" w:color="000000" w:sz="4" w:space="0"/>
            </w:tcBorders>
          </w:tcPr>
          <w:p>
            <w:pPr>
              <w:pStyle w:val="15"/>
              <w:wordWrap w:val="0"/>
              <w:spacing w:line="360" w:lineRule="exact"/>
              <w:ind w:left="105" w:right="-15"/>
              <w:rPr>
                <w:sz w:val="21"/>
              </w:rPr>
            </w:pPr>
            <w:r>
              <w:rPr>
                <w:spacing w:val="-4"/>
                <w:sz w:val="21"/>
              </w:rPr>
              <w:t>以供应商在报价单上填写的交货期长短进行评分</w:t>
            </w:r>
            <w:r>
              <w:rPr>
                <w:sz w:val="21"/>
              </w:rPr>
              <w:t>（交货期从合同签订</w:t>
            </w:r>
            <w:r>
              <w:rPr>
                <w:spacing w:val="-1"/>
                <w:sz w:val="21"/>
              </w:rPr>
              <w:t>之日起算</w:t>
            </w:r>
            <w:r>
              <w:rPr>
                <w:spacing w:val="-108"/>
                <w:sz w:val="21"/>
              </w:rPr>
              <w:t>）</w:t>
            </w:r>
            <w:r>
              <w:rPr>
                <w:spacing w:val="-1"/>
                <w:sz w:val="21"/>
              </w:rPr>
              <w:t>。交货期</w:t>
            </w:r>
            <w:r>
              <w:rPr>
                <w:rFonts w:ascii="Calibri" w:hAnsi="Calibri" w:eastAsia="Calibri"/>
                <w:spacing w:val="-1"/>
                <w:sz w:val="21"/>
              </w:rPr>
              <w:t>≤15</w:t>
            </w:r>
            <w:r>
              <w:rPr>
                <w:rFonts w:ascii="Calibri" w:hAnsi="Calibri" w:eastAsia="Calibri"/>
                <w:spacing w:val="4"/>
                <w:sz w:val="21"/>
              </w:rPr>
              <w:t xml:space="preserve"> </w:t>
            </w:r>
            <w:r>
              <w:rPr>
                <w:spacing w:val="-15"/>
                <w:sz w:val="21"/>
              </w:rPr>
              <w:t xml:space="preserve">天的得 </w:t>
            </w:r>
            <w:r>
              <w:rPr>
                <w:rFonts w:ascii="Calibri" w:hAnsi="Calibri" w:eastAsia="Calibri"/>
                <w:spacing w:val="-1"/>
                <w:sz w:val="21"/>
              </w:rPr>
              <w:t>4</w:t>
            </w:r>
            <w:r>
              <w:rPr>
                <w:rFonts w:ascii="Calibri" w:hAnsi="Calibri" w:eastAsia="Calibri"/>
                <w:spacing w:val="6"/>
                <w:sz w:val="21"/>
              </w:rPr>
              <w:t xml:space="preserve"> </w:t>
            </w:r>
            <w:r>
              <w:rPr>
                <w:spacing w:val="-1"/>
                <w:sz w:val="21"/>
              </w:rPr>
              <w:t>分，交货期＞</w:t>
            </w:r>
            <w:r>
              <w:rPr>
                <w:rFonts w:ascii="Calibri" w:hAnsi="Calibri" w:eastAsia="Calibri"/>
                <w:spacing w:val="-1"/>
                <w:sz w:val="21"/>
              </w:rPr>
              <w:t>15</w:t>
            </w:r>
            <w:r>
              <w:rPr>
                <w:rFonts w:ascii="Calibri" w:hAnsi="Calibri" w:eastAsia="Calibri"/>
                <w:spacing w:val="3"/>
                <w:sz w:val="21"/>
              </w:rPr>
              <w:t xml:space="preserve"> </w:t>
            </w:r>
            <w:r>
              <w:rPr>
                <w:spacing w:val="-1"/>
                <w:sz w:val="21"/>
              </w:rPr>
              <w:t>天</w:t>
            </w:r>
            <w:r>
              <w:rPr>
                <w:rFonts w:ascii="Calibri" w:hAnsi="Calibri" w:eastAsia="Calibri"/>
                <w:spacing w:val="-1"/>
                <w:sz w:val="21"/>
              </w:rPr>
              <w:t>≤30</w:t>
            </w:r>
            <w:r>
              <w:rPr>
                <w:rFonts w:ascii="Calibri" w:hAnsi="Calibri" w:eastAsia="Calibri"/>
                <w:spacing w:val="6"/>
                <w:sz w:val="21"/>
              </w:rPr>
              <w:t xml:space="preserve"> </w:t>
            </w:r>
            <w:r>
              <w:rPr>
                <w:spacing w:val="-15"/>
                <w:sz w:val="21"/>
              </w:rPr>
              <w:t xml:space="preserve">天的得 </w:t>
            </w:r>
            <w:r>
              <w:rPr>
                <w:rFonts w:ascii="Calibri" w:hAnsi="Calibri" w:eastAsia="Calibri"/>
                <w:sz w:val="21"/>
              </w:rPr>
              <w:t>2</w:t>
            </w:r>
            <w:r>
              <w:rPr>
                <w:rFonts w:ascii="Calibri" w:hAnsi="Calibri" w:eastAsia="Calibri"/>
                <w:spacing w:val="3"/>
                <w:sz w:val="21"/>
              </w:rPr>
              <w:t xml:space="preserve"> </w:t>
            </w:r>
            <w:r>
              <w:rPr>
                <w:sz w:val="21"/>
              </w:rPr>
              <w:t>分，</w:t>
            </w:r>
            <w:r>
              <w:rPr>
                <w:spacing w:val="-102"/>
                <w:sz w:val="21"/>
              </w:rPr>
              <w:t xml:space="preserve"> </w:t>
            </w:r>
            <w:r>
              <w:rPr>
                <w:sz w:val="21"/>
              </w:rPr>
              <w:t>交货期＞</w:t>
            </w:r>
            <w:r>
              <w:rPr>
                <w:rFonts w:ascii="Calibri" w:hAnsi="Calibri" w:eastAsia="Calibri"/>
                <w:sz w:val="21"/>
              </w:rPr>
              <w:t>30</w:t>
            </w:r>
            <w:r>
              <w:rPr>
                <w:rFonts w:ascii="Calibri" w:hAnsi="Calibri" w:eastAsia="Calibri"/>
                <w:spacing w:val="3"/>
                <w:sz w:val="21"/>
              </w:rPr>
              <w:t xml:space="preserve"> </w:t>
            </w:r>
            <w:r>
              <w:rPr>
                <w:sz w:val="21"/>
              </w:rPr>
              <w:t>天或未填写交货期的不得分。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0"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5"/>
              <w:wordWrap w:val="0"/>
              <w:spacing w:before="158"/>
              <w:ind w:left="121" w:right="115"/>
              <w:jc w:val="center"/>
              <w:rPr>
                <w:sz w:val="24"/>
              </w:rPr>
            </w:pPr>
            <w:r>
              <w:rPr>
                <w:sz w:val="24"/>
              </w:rPr>
              <w:t>增值服务</w:t>
            </w:r>
          </w:p>
        </w:tc>
        <w:tc>
          <w:tcPr>
            <w:tcW w:w="711" w:type="dxa"/>
            <w:tcBorders>
              <w:top w:val="single" w:color="000000" w:sz="4" w:space="0"/>
              <w:left w:val="single" w:color="000000" w:sz="4" w:space="0"/>
              <w:bottom w:val="single" w:color="000000" w:sz="4" w:space="0"/>
              <w:right w:val="single" w:color="000000" w:sz="4" w:space="0"/>
            </w:tcBorders>
          </w:tcPr>
          <w:p>
            <w:pPr>
              <w:pStyle w:val="15"/>
              <w:wordWrap w:val="0"/>
              <w:spacing w:before="158"/>
              <w:ind w:left="4"/>
              <w:jc w:val="center"/>
              <w:rPr>
                <w:sz w:val="24"/>
              </w:rPr>
            </w:pPr>
            <w:r>
              <w:rPr>
                <w:sz w:val="24"/>
              </w:rPr>
              <w:t>2</w:t>
            </w:r>
          </w:p>
        </w:tc>
        <w:tc>
          <w:tcPr>
            <w:tcW w:w="6445" w:type="dxa"/>
            <w:tcBorders>
              <w:top w:val="single" w:color="000000" w:sz="4" w:space="0"/>
              <w:left w:val="single" w:color="000000" w:sz="4" w:space="0"/>
              <w:bottom w:val="single" w:color="000000" w:sz="4" w:space="0"/>
              <w:right w:val="single" w:color="000000" w:sz="4" w:space="0"/>
            </w:tcBorders>
          </w:tcPr>
          <w:p>
            <w:pPr>
              <w:pStyle w:val="15"/>
              <w:wordWrap w:val="0"/>
              <w:spacing w:before="158"/>
              <w:ind w:left="105"/>
              <w:rPr>
                <w:sz w:val="24"/>
              </w:rPr>
            </w:pPr>
            <w:r>
              <w:rPr>
                <w:sz w:val="24"/>
              </w:rPr>
              <w:t>根据供应商提供的增值服务价值酌情评分。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2660" w:type="dxa"/>
            <w:gridSpan w:val="2"/>
            <w:tcBorders>
              <w:top w:val="single" w:color="000000" w:sz="4" w:space="0"/>
              <w:left w:val="single" w:color="000000" w:sz="4" w:space="0"/>
              <w:bottom w:val="single" w:color="000000" w:sz="4" w:space="0"/>
              <w:right w:val="single" w:color="000000" w:sz="4" w:space="0"/>
            </w:tcBorders>
          </w:tcPr>
          <w:p>
            <w:pPr>
              <w:pStyle w:val="15"/>
              <w:wordWrap w:val="0"/>
              <w:spacing w:before="153"/>
              <w:ind w:left="1069" w:right="1060"/>
              <w:jc w:val="center"/>
              <w:rPr>
                <w:sz w:val="24"/>
              </w:rPr>
            </w:pPr>
            <w:r>
              <w:rPr>
                <w:sz w:val="24"/>
              </w:rPr>
              <w:t>合计</w:t>
            </w:r>
          </w:p>
        </w:tc>
        <w:tc>
          <w:tcPr>
            <w:tcW w:w="711" w:type="dxa"/>
            <w:tcBorders>
              <w:top w:val="single" w:color="000000" w:sz="4" w:space="0"/>
              <w:left w:val="single" w:color="000000" w:sz="4" w:space="0"/>
              <w:bottom w:val="single" w:color="000000" w:sz="4" w:space="0"/>
              <w:right w:val="single" w:color="000000" w:sz="4" w:space="0"/>
            </w:tcBorders>
          </w:tcPr>
          <w:p>
            <w:pPr>
              <w:pStyle w:val="15"/>
              <w:wordWrap w:val="0"/>
              <w:spacing w:before="88"/>
              <w:ind w:left="172"/>
              <w:rPr>
                <w:rFonts w:ascii="Microsoft YaHei UI"/>
                <w:b/>
                <w:sz w:val="24"/>
              </w:rPr>
            </w:pPr>
            <w:r>
              <w:rPr>
                <w:rFonts w:ascii="Microsoft YaHei UI"/>
                <w:b/>
                <w:w w:val="90"/>
                <w:sz w:val="24"/>
              </w:rPr>
              <w:t>100</w:t>
            </w:r>
          </w:p>
        </w:tc>
        <w:tc>
          <w:tcPr>
            <w:tcW w:w="6445" w:type="dxa"/>
            <w:tcBorders>
              <w:top w:val="single" w:color="000000" w:sz="4" w:space="0"/>
              <w:left w:val="single" w:color="000000" w:sz="4" w:space="0"/>
              <w:bottom w:val="single" w:color="000000" w:sz="4" w:space="0"/>
              <w:right w:val="single" w:color="000000" w:sz="4" w:space="0"/>
            </w:tcBorders>
          </w:tcPr>
          <w:p>
            <w:pPr>
              <w:pStyle w:val="15"/>
              <w:wordWrap w:val="0"/>
              <w:spacing w:before="153"/>
              <w:ind w:left="105"/>
              <w:rPr>
                <w:sz w:val="24"/>
              </w:rPr>
            </w:pPr>
            <w:r>
              <w:rPr>
                <w:sz w:val="24"/>
              </w:rPr>
              <w:t>响应人最后得分保留两位小数</w:t>
            </w:r>
          </w:p>
        </w:tc>
      </w:tr>
    </w:tbl>
    <w:p>
      <w:pPr>
        <w:pStyle w:val="2"/>
        <w:wordWrap w:val="0"/>
        <w:rPr>
          <w:sz w:val="20"/>
        </w:rPr>
      </w:pPr>
    </w:p>
    <w:p>
      <w:pPr>
        <w:pStyle w:val="2"/>
        <w:wordWrap w:val="0"/>
        <w:rPr>
          <w:sz w:val="18"/>
        </w:rPr>
      </w:pPr>
    </w:p>
    <w:p>
      <w:pPr>
        <w:wordWrap w:val="0"/>
        <w:spacing w:before="1"/>
        <w:ind w:left="710"/>
        <w:rPr>
          <w:sz w:val="24"/>
        </w:rPr>
      </w:pPr>
      <w:r>
        <w:rPr>
          <w:rFonts w:hint="eastAsia" w:ascii="Microsoft YaHei UI" w:eastAsia="Microsoft YaHei UI"/>
          <w:b/>
          <w:sz w:val="24"/>
        </w:rPr>
        <w:t>四、评标结果</w:t>
      </w:r>
      <w:r>
        <w:rPr>
          <w:rFonts w:hint="eastAsia" w:ascii="Microsoft YaHei UI" w:eastAsia="Microsoft YaHei UI"/>
          <w:b/>
          <w:w w:val="155"/>
          <w:sz w:val="24"/>
        </w:rPr>
        <w:t>:</w:t>
      </w:r>
      <w:r>
        <w:rPr>
          <w:sz w:val="24"/>
        </w:rPr>
        <w:t>磋商小组按照本办法规定推荐成交候选人，并形成评审报告。</w:t>
      </w:r>
    </w:p>
    <w:p>
      <w:pPr>
        <w:wordWrap w:val="0"/>
        <w:rPr>
          <w:sz w:val="24"/>
        </w:rPr>
        <w:sectPr>
          <w:pgSz w:w="11910" w:h="16840"/>
          <w:pgMar w:top="1280" w:right="840" w:bottom="960" w:left="1020" w:header="877" w:footer="770" w:gutter="0"/>
          <w:cols w:space="720" w:num="1"/>
        </w:sectPr>
      </w:pPr>
    </w:p>
    <w:p>
      <w:pPr>
        <w:pStyle w:val="12"/>
        <w:tabs>
          <w:tab w:val="left" w:pos="2208"/>
        </w:tabs>
        <w:wordWrap w:val="0"/>
      </w:pPr>
      <w:r>
        <w:pict>
          <v:rect id="_x0000_s2085" o:spid="_x0000_s2085" o:spt="1" style="position:absolute;left:0pt;margin-left:60.95pt;margin-top:2.45pt;height:0.7pt;width:473.6pt;mso-position-horizontal-relative:page;z-index:-251650048;mso-width-relative:page;mso-height-relative:page;" fillcolor="#000000" filled="t" stroked="f" coordsize="21600,21600">
            <v:path/>
            <v:fill on="t" focussize="0,0"/>
            <v:stroke on="f"/>
            <v:imagedata o:title=""/>
            <o:lock v:ext="edit"/>
          </v:rect>
        </w:pict>
      </w:r>
      <w:bookmarkStart w:id="11" w:name="_TOC_250002"/>
      <w:r>
        <w:t>第四部分</w:t>
      </w:r>
      <w:r>
        <w:tab/>
      </w:r>
      <w:bookmarkEnd w:id="11"/>
      <w:r>
        <w:rPr>
          <w:w w:val="95"/>
        </w:rPr>
        <w:t>采购需求</w:t>
      </w:r>
    </w:p>
    <w:p>
      <w:pPr>
        <w:wordWrap w:val="0"/>
        <w:spacing w:before="244"/>
        <w:ind w:left="227"/>
        <w:rPr>
          <w:rFonts w:ascii="Microsoft YaHei UI" w:eastAsia="Microsoft YaHei UI"/>
          <w:b/>
          <w:sz w:val="24"/>
        </w:rPr>
      </w:pPr>
      <w:r>
        <w:rPr>
          <w:rFonts w:hint="eastAsia" w:ascii="Microsoft YaHei UI" w:eastAsia="Microsoft YaHei UI"/>
          <w:b/>
          <w:sz w:val="24"/>
        </w:rPr>
        <w:t>一、项目概况</w:t>
      </w:r>
    </w:p>
    <w:p>
      <w:pPr>
        <w:pStyle w:val="2"/>
        <w:wordWrap w:val="0"/>
        <w:spacing w:before="77" w:line="343" w:lineRule="auto"/>
        <w:ind w:left="227"/>
        <w:rPr>
          <w:rFonts w:hint="eastAsia" w:eastAsiaTheme="minorEastAsia"/>
          <w:spacing w:val="-1"/>
        </w:rPr>
      </w:pPr>
      <w:r>
        <w:rPr>
          <w:spacing w:val="-1"/>
        </w:rPr>
        <w:t>设备名称：</w:t>
      </w:r>
      <w:r>
        <w:rPr>
          <w:rFonts w:hint="eastAsia" w:eastAsiaTheme="minorEastAsia"/>
        </w:rPr>
        <w:t>加温毯</w:t>
      </w:r>
    </w:p>
    <w:p>
      <w:pPr>
        <w:pStyle w:val="2"/>
        <w:wordWrap w:val="0"/>
        <w:spacing w:before="77" w:line="343" w:lineRule="auto"/>
        <w:ind w:left="227"/>
        <w:rPr>
          <w:rFonts w:hint="eastAsia" w:eastAsiaTheme="minorEastAsia"/>
          <w:spacing w:val="-1"/>
        </w:rPr>
      </w:pPr>
      <w:r>
        <w:rPr>
          <w:spacing w:val="-1"/>
        </w:rPr>
        <w:t>数量：</w:t>
      </w:r>
      <w:r>
        <w:rPr>
          <w:rFonts w:hint="eastAsia" w:eastAsiaTheme="minorEastAsia"/>
        </w:rPr>
        <w:t>3台（套）</w:t>
      </w:r>
      <w:r>
        <w:rPr>
          <w:rFonts w:hint="eastAsia" w:eastAsiaTheme="minorEastAsia"/>
          <w:spacing w:val="-1"/>
        </w:rPr>
        <w:t xml:space="preserve"> </w:t>
      </w:r>
    </w:p>
    <w:p>
      <w:pPr>
        <w:pStyle w:val="2"/>
        <w:wordWrap w:val="0"/>
        <w:spacing w:before="77" w:line="343" w:lineRule="auto"/>
        <w:ind w:left="227"/>
        <w:rPr>
          <w:rFonts w:hint="eastAsia" w:eastAsiaTheme="minorEastAsia"/>
        </w:rPr>
      </w:pPr>
      <w:r>
        <w:rPr>
          <w:spacing w:val="-1"/>
        </w:rPr>
        <w:t>预算：</w:t>
      </w:r>
      <w:r>
        <w:rPr>
          <w:rFonts w:hint="eastAsia" w:eastAsiaTheme="minorEastAsia"/>
        </w:rPr>
        <w:t>15万元(3台)（套）</w:t>
      </w:r>
    </w:p>
    <w:p>
      <w:pPr>
        <w:pStyle w:val="2"/>
        <w:wordWrap w:val="0"/>
        <w:spacing w:before="77" w:line="343" w:lineRule="auto"/>
        <w:ind w:left="227"/>
        <w:rPr>
          <w:rFonts w:hint="eastAsia" w:ascii="Microsoft YaHei UI" w:eastAsiaTheme="minorEastAsia"/>
          <w:b/>
        </w:rPr>
      </w:pPr>
      <w:r>
        <w:rPr>
          <w:rFonts w:hint="eastAsia" w:ascii="宋体" w:hAnsi="宋体" w:eastAsia="宋体" w:cs="宋体"/>
          <w:b/>
        </w:rPr>
        <w:t>二、技术性能指标</w:t>
      </w:r>
    </w:p>
    <w:p>
      <w:pPr>
        <w:wordWrap w:val="0"/>
        <w:spacing w:before="2" w:line="292" w:lineRule="auto"/>
        <w:ind w:left="227" w:firstLine="482" w:firstLineChars="200"/>
        <w:rPr>
          <w:rFonts w:hint="eastAsia" w:ascii="Microsoft YaHei UI" w:eastAsiaTheme="minorEastAsia"/>
          <w:b/>
          <w:sz w:val="24"/>
        </w:rPr>
      </w:pPr>
      <w:r>
        <w:rPr>
          <w:rFonts w:hint="eastAsia" w:ascii="Microsoft YaHei UI" w:eastAsiaTheme="minorEastAsia"/>
          <w:b/>
          <w:sz w:val="24"/>
        </w:rPr>
        <w:t>加温毯</w:t>
      </w:r>
    </w:p>
    <w:p>
      <w:pPr>
        <w:pStyle w:val="2"/>
        <w:wordWrap w:val="0"/>
        <w:spacing w:line="345" w:lineRule="exact"/>
        <w:ind w:left="708"/>
        <w:rPr>
          <w:rFonts w:hint="eastAsia" w:eastAsiaTheme="minorEastAsia"/>
          <w:spacing w:val="16"/>
          <w:w w:val="95"/>
        </w:rPr>
      </w:pPr>
      <w:r>
        <w:rPr>
          <w:rFonts w:hint="eastAsia" w:eastAsiaTheme="minorEastAsia"/>
          <w:spacing w:val="16"/>
          <w:w w:val="95"/>
        </w:rPr>
        <w:t>1.控制器采用重量轻、转换效率高、安全性能高的开关电源；</w:t>
      </w:r>
    </w:p>
    <w:p>
      <w:pPr>
        <w:pStyle w:val="2"/>
        <w:wordWrap w:val="0"/>
        <w:spacing w:line="345" w:lineRule="exact"/>
        <w:ind w:left="708"/>
        <w:rPr>
          <w:rFonts w:hint="eastAsia" w:eastAsiaTheme="minorEastAsia"/>
          <w:spacing w:val="16"/>
          <w:w w:val="95"/>
        </w:rPr>
      </w:pPr>
      <w:r>
        <w:rPr>
          <w:rFonts w:hint="eastAsia" w:eastAsiaTheme="minorEastAsia"/>
          <w:spacing w:val="16"/>
          <w:w w:val="95"/>
        </w:rPr>
        <w:t>2.双重过温保护装置（双系统双芯片）、多种安全报警装置及过流保护，确保加</w:t>
      </w:r>
    </w:p>
    <w:p>
      <w:pPr>
        <w:pStyle w:val="2"/>
        <w:wordWrap w:val="0"/>
        <w:spacing w:line="345" w:lineRule="exact"/>
        <w:ind w:left="708"/>
        <w:rPr>
          <w:rFonts w:hint="eastAsia" w:eastAsiaTheme="minorEastAsia"/>
          <w:spacing w:val="16"/>
          <w:w w:val="95"/>
        </w:rPr>
      </w:pPr>
      <w:r>
        <w:rPr>
          <w:rFonts w:hint="eastAsia" w:eastAsiaTheme="minorEastAsia"/>
          <w:spacing w:val="16"/>
          <w:w w:val="95"/>
        </w:rPr>
        <w:t>温安全性；</w:t>
      </w:r>
    </w:p>
    <w:p>
      <w:pPr>
        <w:pStyle w:val="2"/>
        <w:wordWrap w:val="0"/>
        <w:spacing w:line="345" w:lineRule="exact"/>
        <w:ind w:left="708"/>
        <w:rPr>
          <w:rFonts w:hint="eastAsia" w:eastAsiaTheme="minorEastAsia"/>
          <w:spacing w:val="16"/>
          <w:w w:val="95"/>
        </w:rPr>
      </w:pPr>
      <w:r>
        <w:rPr>
          <w:rFonts w:hint="eastAsia" w:eastAsiaTheme="minorEastAsia"/>
          <w:spacing w:val="16"/>
          <w:w w:val="95"/>
        </w:rPr>
        <w:t>3.输出温度35-40℃,手术时间长或老年手术患者要求温度可调节至40℃,</w:t>
      </w:r>
    </w:p>
    <w:p>
      <w:pPr>
        <w:pStyle w:val="2"/>
        <w:wordWrap w:val="0"/>
        <w:spacing w:line="345" w:lineRule="exact"/>
        <w:ind w:left="708"/>
        <w:rPr>
          <w:rFonts w:hint="eastAsia" w:eastAsiaTheme="minorEastAsia"/>
          <w:spacing w:val="16"/>
          <w:w w:val="95"/>
        </w:rPr>
      </w:pPr>
      <w:r>
        <w:rPr>
          <w:rFonts w:hint="eastAsia" w:eastAsiaTheme="minorEastAsia"/>
          <w:spacing w:val="16"/>
          <w:w w:val="95"/>
        </w:rPr>
        <w:t>超温报警：41. 5C℃±0. 5℃;</w:t>
      </w:r>
    </w:p>
    <w:p>
      <w:pPr>
        <w:pStyle w:val="2"/>
        <w:wordWrap w:val="0"/>
        <w:spacing w:line="345" w:lineRule="exact"/>
        <w:ind w:left="708"/>
        <w:rPr>
          <w:rFonts w:hint="eastAsia" w:eastAsiaTheme="minorEastAsia"/>
          <w:spacing w:val="16"/>
          <w:w w:val="95"/>
        </w:rPr>
      </w:pPr>
      <w:r>
        <w:rPr>
          <w:rFonts w:hint="eastAsia" w:eastAsiaTheme="minorEastAsia"/>
          <w:spacing w:val="16"/>
          <w:w w:val="95"/>
        </w:rPr>
        <w:t>4.控制器防水等级≥IPX2,有效防护控制器在使用过程中，避免部分液体滴落</w:t>
      </w:r>
    </w:p>
    <w:p>
      <w:pPr>
        <w:pStyle w:val="2"/>
        <w:wordWrap w:val="0"/>
        <w:spacing w:line="345" w:lineRule="exact"/>
        <w:ind w:left="708"/>
        <w:rPr>
          <w:rFonts w:hint="eastAsia" w:eastAsiaTheme="minorEastAsia"/>
          <w:spacing w:val="16"/>
          <w:w w:val="95"/>
        </w:rPr>
      </w:pPr>
      <w:r>
        <w:rPr>
          <w:rFonts w:hint="eastAsia" w:eastAsiaTheme="minorEastAsia"/>
          <w:spacing w:val="16"/>
          <w:w w:val="95"/>
        </w:rPr>
        <w:t>至控制器内部而引发安全隐患，保证设备安全运行；</w:t>
      </w:r>
    </w:p>
    <w:p>
      <w:pPr>
        <w:pStyle w:val="2"/>
        <w:wordWrap w:val="0"/>
        <w:spacing w:line="345" w:lineRule="exact"/>
        <w:ind w:left="708"/>
        <w:rPr>
          <w:rFonts w:hint="eastAsia" w:eastAsiaTheme="minorEastAsia"/>
          <w:spacing w:val="16"/>
          <w:w w:val="95"/>
        </w:rPr>
      </w:pPr>
      <w:r>
        <w:rPr>
          <w:rFonts w:hint="eastAsia" w:eastAsiaTheme="minorEastAsia"/>
          <w:spacing w:val="16"/>
          <w:w w:val="95"/>
        </w:rPr>
        <w:t>5.加温垫（毯）防水等级≥IPX8,加温垫（毯）可沉浸在2米水深长时间不进水，能</w:t>
      </w:r>
    </w:p>
    <w:p>
      <w:pPr>
        <w:pStyle w:val="2"/>
        <w:wordWrap w:val="0"/>
        <w:spacing w:line="345" w:lineRule="exact"/>
        <w:ind w:left="708"/>
        <w:rPr>
          <w:rFonts w:hint="eastAsia" w:eastAsiaTheme="minorEastAsia"/>
          <w:spacing w:val="16"/>
          <w:w w:val="95"/>
        </w:rPr>
      </w:pPr>
      <w:r>
        <w:rPr>
          <w:rFonts w:hint="eastAsia" w:eastAsiaTheme="minorEastAsia"/>
          <w:spacing w:val="16"/>
          <w:w w:val="95"/>
        </w:rPr>
        <w:t>完全防止手术过程中产生的液体渗透至加温垫（毯）的内部，保证设备安全运行</w:t>
      </w:r>
    </w:p>
    <w:p>
      <w:pPr>
        <w:pStyle w:val="2"/>
        <w:wordWrap w:val="0"/>
        <w:spacing w:line="345" w:lineRule="exact"/>
        <w:ind w:left="708"/>
        <w:rPr>
          <w:rFonts w:hint="eastAsia" w:eastAsiaTheme="minorEastAsia"/>
          <w:spacing w:val="16"/>
          <w:w w:val="95"/>
        </w:rPr>
      </w:pPr>
      <w:r>
        <w:rPr>
          <w:rFonts w:hint="eastAsia" w:eastAsiaTheme="minorEastAsia"/>
          <w:spacing w:val="16"/>
          <w:w w:val="95"/>
        </w:rPr>
        <w:t>6.控制器具有双通道输出功能：</w:t>
      </w:r>
    </w:p>
    <w:p>
      <w:pPr>
        <w:pStyle w:val="2"/>
        <w:wordWrap w:val="0"/>
        <w:spacing w:line="345" w:lineRule="exact"/>
        <w:ind w:left="708"/>
        <w:rPr>
          <w:rFonts w:hint="eastAsia" w:eastAsiaTheme="minorEastAsia"/>
          <w:spacing w:val="16"/>
          <w:w w:val="95"/>
        </w:rPr>
      </w:pPr>
      <w:r>
        <w:rPr>
          <w:rFonts w:hint="eastAsia" w:eastAsiaTheme="minorEastAsia"/>
          <w:spacing w:val="16"/>
          <w:w w:val="95"/>
        </w:rPr>
        <w:t>加温垫可选择1700*535(单位：mm)或者1070*535(单位：mm);(需提供配置</w:t>
      </w:r>
    </w:p>
    <w:p>
      <w:pPr>
        <w:pStyle w:val="2"/>
        <w:wordWrap w:val="0"/>
        <w:spacing w:line="345" w:lineRule="exact"/>
        <w:ind w:left="708"/>
        <w:rPr>
          <w:rFonts w:hint="eastAsia" w:eastAsiaTheme="minorEastAsia"/>
          <w:spacing w:val="16"/>
          <w:w w:val="95"/>
        </w:rPr>
      </w:pPr>
      <w:r>
        <w:rPr>
          <w:rFonts w:hint="eastAsia" w:eastAsiaTheme="minorEastAsia"/>
          <w:spacing w:val="16"/>
          <w:w w:val="95"/>
        </w:rPr>
        <w:t>清单注明尺寸）</w:t>
      </w:r>
    </w:p>
    <w:p>
      <w:pPr>
        <w:pStyle w:val="2"/>
        <w:wordWrap w:val="0"/>
        <w:spacing w:line="345" w:lineRule="exact"/>
        <w:ind w:left="708"/>
        <w:rPr>
          <w:rFonts w:hint="eastAsia" w:eastAsiaTheme="minorEastAsia"/>
          <w:spacing w:val="16"/>
          <w:w w:val="95"/>
        </w:rPr>
      </w:pPr>
      <w:r>
        <w:rPr>
          <w:rFonts w:hint="eastAsia" w:eastAsiaTheme="minorEastAsia"/>
          <w:spacing w:val="16"/>
          <w:w w:val="95"/>
        </w:rPr>
        <w:t>7.发热材料由整面发热均匀、无冷热点的碳纤维布制成，非碳纤维织物，非碳</w:t>
      </w:r>
    </w:p>
    <w:p>
      <w:pPr>
        <w:pStyle w:val="2"/>
        <w:wordWrap w:val="0"/>
        <w:spacing w:line="345" w:lineRule="exact"/>
        <w:ind w:left="708"/>
        <w:rPr>
          <w:rFonts w:hint="eastAsia" w:eastAsiaTheme="minorEastAsia"/>
          <w:spacing w:val="16"/>
          <w:w w:val="95"/>
        </w:rPr>
      </w:pPr>
      <w:r>
        <w:rPr>
          <w:rFonts w:hint="eastAsia" w:eastAsiaTheme="minorEastAsia"/>
          <w:spacing w:val="16"/>
          <w:w w:val="95"/>
        </w:rPr>
        <w:t>纤维丝或碳纤维发热线；（需提供注册证证明“结构及组成”）</w:t>
      </w:r>
    </w:p>
    <w:p>
      <w:pPr>
        <w:pStyle w:val="2"/>
        <w:wordWrap w:val="0"/>
        <w:spacing w:line="345" w:lineRule="exact"/>
        <w:ind w:left="708"/>
        <w:rPr>
          <w:rFonts w:hint="eastAsia" w:eastAsiaTheme="minorEastAsia"/>
          <w:spacing w:val="16"/>
          <w:w w:val="95"/>
        </w:rPr>
      </w:pPr>
      <w:r>
        <w:rPr>
          <w:rFonts w:hint="eastAsia" w:eastAsiaTheme="minorEastAsia"/>
          <w:spacing w:val="16"/>
          <w:w w:val="95"/>
        </w:rPr>
        <w:t>8.加温垫由接触层、舒适层、绝缘层（双层）、发热层、加温层、缓冲层等7层</w:t>
      </w:r>
    </w:p>
    <w:p>
      <w:pPr>
        <w:pStyle w:val="2"/>
        <w:wordWrap w:val="0"/>
        <w:spacing w:line="345" w:lineRule="exact"/>
        <w:ind w:left="708"/>
        <w:rPr>
          <w:rFonts w:hint="eastAsia" w:eastAsiaTheme="minorEastAsia"/>
          <w:spacing w:val="16"/>
          <w:w w:val="95"/>
        </w:rPr>
      </w:pPr>
      <w:r>
        <w:rPr>
          <w:rFonts w:hint="eastAsia" w:eastAsiaTheme="minorEastAsia"/>
          <w:spacing w:val="16"/>
          <w:w w:val="95"/>
        </w:rPr>
        <w:t>结构组成，加温垫（毯）具备双重防漏电触电结构和双重防水结构；加温垫内置</w:t>
      </w:r>
    </w:p>
    <w:p>
      <w:pPr>
        <w:pStyle w:val="2"/>
        <w:wordWrap w:val="0"/>
        <w:spacing w:line="345" w:lineRule="exact"/>
        <w:ind w:left="708"/>
        <w:rPr>
          <w:rFonts w:hint="eastAsia" w:eastAsiaTheme="minorEastAsia"/>
          <w:spacing w:val="16"/>
          <w:w w:val="95"/>
        </w:rPr>
      </w:pPr>
      <w:r>
        <w:rPr>
          <w:rFonts w:hint="eastAsia" w:eastAsiaTheme="minorEastAsia"/>
          <w:spacing w:val="16"/>
          <w:w w:val="95"/>
        </w:rPr>
        <w:t>的压力缓解垫及舒适层能有效预防褥疮；</w:t>
      </w:r>
    </w:p>
    <w:p>
      <w:pPr>
        <w:pStyle w:val="2"/>
        <w:wordWrap w:val="0"/>
        <w:spacing w:line="345" w:lineRule="exact"/>
        <w:ind w:left="708"/>
        <w:rPr>
          <w:rFonts w:hint="eastAsia" w:eastAsiaTheme="minorEastAsia"/>
          <w:spacing w:val="16"/>
          <w:w w:val="95"/>
        </w:rPr>
      </w:pPr>
      <w:r>
        <w:rPr>
          <w:rFonts w:hint="eastAsia" w:eastAsiaTheme="minorEastAsia"/>
          <w:spacing w:val="16"/>
          <w:w w:val="95"/>
        </w:rPr>
        <w:t>9.加温垫（毯）可透视X射线；</w:t>
      </w:r>
    </w:p>
    <w:p>
      <w:pPr>
        <w:pStyle w:val="2"/>
        <w:wordWrap w:val="0"/>
        <w:spacing w:line="345" w:lineRule="exact"/>
        <w:ind w:left="708"/>
        <w:rPr>
          <w:rFonts w:hint="eastAsia" w:eastAsiaTheme="minorEastAsia"/>
          <w:spacing w:val="16"/>
          <w:w w:val="95"/>
        </w:rPr>
      </w:pPr>
      <w:r>
        <w:rPr>
          <w:rFonts w:hint="eastAsia" w:eastAsiaTheme="minorEastAsia"/>
          <w:spacing w:val="16"/>
          <w:w w:val="95"/>
        </w:rPr>
        <w:t>10.无一次性使用耗材。</w:t>
      </w:r>
    </w:p>
    <w:p>
      <w:pPr>
        <w:pStyle w:val="2"/>
        <w:wordWrap w:val="0"/>
        <w:spacing w:line="345" w:lineRule="exact"/>
        <w:ind w:left="708"/>
        <w:rPr>
          <w:rFonts w:hint="eastAsia" w:eastAsiaTheme="minorEastAsia"/>
          <w:spacing w:val="16"/>
          <w:w w:val="95"/>
        </w:rPr>
      </w:pPr>
    </w:p>
    <w:p>
      <w:pPr>
        <w:wordWrap w:val="0"/>
        <w:spacing w:before="134" w:line="292" w:lineRule="auto"/>
        <w:ind w:left="227" w:right="7536"/>
        <w:rPr>
          <w:rFonts w:ascii="Microsoft YaHei UI" w:hAnsi="Microsoft YaHei UI" w:eastAsia="Microsoft YaHei UI"/>
          <w:b/>
          <w:sz w:val="24"/>
        </w:rPr>
      </w:pPr>
      <w:r>
        <w:rPr>
          <w:rFonts w:hint="eastAsia" w:ascii="Microsoft YaHei UI" w:hAnsi="Microsoft YaHei UI" w:eastAsia="Microsoft YaHei UI"/>
          <w:b/>
          <w:sz w:val="24"/>
        </w:rPr>
        <w:t>二、到货要求</w:t>
      </w:r>
    </w:p>
    <w:p>
      <w:pPr>
        <w:pStyle w:val="2"/>
        <w:wordWrap w:val="0"/>
        <w:spacing w:line="345" w:lineRule="exact"/>
        <w:ind w:left="708"/>
      </w:pPr>
      <w:r>
        <w:rPr>
          <w:spacing w:val="16"/>
          <w:w w:val="95"/>
        </w:rPr>
        <w:t xml:space="preserve">合同签订后 </w:t>
      </w:r>
      <w:r>
        <w:rPr>
          <w:rFonts w:hint="eastAsia" w:ascii="Microsoft YaHei UI" w:eastAsia="Microsoft YaHei UI"/>
          <w:b/>
          <w:w w:val="95"/>
        </w:rPr>
        <w:t>60</w:t>
      </w:r>
      <w:r>
        <w:rPr>
          <w:rFonts w:hint="eastAsia" w:ascii="Microsoft YaHei UI" w:eastAsia="Microsoft YaHei UI"/>
          <w:b/>
          <w:spacing w:val="152"/>
        </w:rPr>
        <w:t xml:space="preserve"> </w:t>
      </w:r>
      <w:r>
        <w:rPr>
          <w:w w:val="95"/>
        </w:rPr>
        <w:t>天内，成交供应商将全部货物运抵并安装调试完成，经验收合格，正式</w:t>
      </w:r>
    </w:p>
    <w:p>
      <w:pPr>
        <w:pStyle w:val="2"/>
        <w:wordWrap w:val="0"/>
        <w:spacing w:before="80" w:line="285" w:lineRule="exact"/>
        <w:ind w:left="227"/>
      </w:pPr>
      <w:r>
        <w:t>交付采购人使用。</w:t>
      </w:r>
    </w:p>
    <w:p>
      <w:pPr>
        <w:wordWrap w:val="0"/>
        <w:spacing w:line="404" w:lineRule="exact"/>
        <w:ind w:left="227"/>
        <w:rPr>
          <w:rFonts w:ascii="Microsoft YaHei UI" w:eastAsia="Microsoft YaHei UI"/>
          <w:b/>
          <w:sz w:val="24"/>
        </w:rPr>
      </w:pPr>
      <w:r>
        <w:rPr>
          <w:rFonts w:hint="eastAsia" w:ascii="Microsoft YaHei UI" w:eastAsia="Microsoft YaHei UI"/>
          <w:b/>
          <w:sz w:val="24"/>
        </w:rPr>
        <w:t>三、保修期及维保要求</w:t>
      </w:r>
    </w:p>
    <w:p>
      <w:pPr>
        <w:pStyle w:val="2"/>
        <w:wordWrap w:val="0"/>
        <w:spacing w:before="62" w:line="343" w:lineRule="auto"/>
        <w:ind w:left="227" w:right="403" w:firstLine="480"/>
      </w:pPr>
      <w:r>
        <w:t>1.</w:t>
      </w:r>
      <w:r>
        <w:rPr>
          <w:spacing w:val="-8"/>
        </w:rPr>
        <w:t xml:space="preserve"> 质量保证须由投标人提供相关承诺书，并于合同签订前向采购人提供制造商出具的</w:t>
      </w:r>
      <w:r>
        <w:t>原厂质保承诺函。</w:t>
      </w:r>
    </w:p>
    <w:p>
      <w:pPr>
        <w:pStyle w:val="2"/>
        <w:wordWrap w:val="0"/>
        <w:spacing w:before="2" w:line="343" w:lineRule="auto"/>
        <w:ind w:left="708" w:right="161"/>
        <w:rPr>
          <w:rFonts w:hint="eastAsia" w:eastAsiaTheme="minorEastAsia"/>
        </w:rPr>
      </w:pPr>
      <w:r>
        <w:rPr>
          <w:spacing w:val="-1"/>
        </w:rPr>
        <w:t>2.</w:t>
      </w:r>
      <w:r>
        <w:rPr>
          <w:spacing w:val="-16"/>
        </w:rPr>
        <w:t xml:space="preserve"> 验收合格后，提供至少 </w:t>
      </w:r>
      <w:r>
        <w:rPr>
          <w:rFonts w:hint="eastAsia" w:eastAsiaTheme="minorEastAsia"/>
          <w:spacing w:val="-1"/>
        </w:rPr>
        <w:t>2</w:t>
      </w:r>
      <w:r>
        <w:rPr>
          <w:spacing w:val="-17"/>
        </w:rPr>
        <w:t>年上门免费原厂维保</w:t>
      </w:r>
      <w:r>
        <w:t>（含配件+人力+差旅费等各项费用</w:t>
      </w:r>
      <w:r>
        <w:rPr>
          <w:spacing w:val="-120"/>
        </w:rPr>
        <w:t>）</w:t>
      </w:r>
      <w:r>
        <w:t>。</w:t>
      </w:r>
    </w:p>
    <w:p>
      <w:pPr>
        <w:pStyle w:val="2"/>
        <w:wordWrap w:val="0"/>
        <w:spacing w:before="2" w:line="343" w:lineRule="auto"/>
        <w:ind w:left="708" w:right="161"/>
        <w:rPr>
          <w:rFonts w:hint="eastAsia" w:eastAsiaTheme="minorEastAsia"/>
        </w:rPr>
      </w:pPr>
      <w:r>
        <w:t>3.保修期自双方代表在设备安装调试后的验收证明文件上签字之日起计算。</w:t>
      </w:r>
    </w:p>
    <w:p>
      <w:pPr>
        <w:tabs>
          <w:tab w:val="left" w:pos="950"/>
        </w:tabs>
        <w:wordWrap w:val="0"/>
        <w:spacing w:line="307" w:lineRule="exact"/>
        <w:ind w:firstLine="720" w:firstLineChars="300"/>
        <w:rPr>
          <w:sz w:val="24"/>
        </w:rPr>
      </w:pPr>
      <w:r>
        <w:rPr>
          <w:rFonts w:hint="eastAsia" w:eastAsiaTheme="minorEastAsia"/>
          <w:sz w:val="24"/>
          <w:szCs w:val="24"/>
        </w:rPr>
        <w:t>4.</w:t>
      </w:r>
      <w:r>
        <w:rPr>
          <w:rFonts w:hint="eastAsia" w:ascii="宋体" w:hAnsi="宋体" w:eastAsia="宋体" w:cs="宋体"/>
          <w:sz w:val="24"/>
        </w:rPr>
        <w:t>保修费用已计入总价，并以书面形式承诺。</w:t>
      </w:r>
    </w:p>
    <w:p>
      <w:pPr>
        <w:pStyle w:val="2"/>
        <w:wordWrap w:val="0"/>
        <w:spacing w:before="2" w:line="343" w:lineRule="auto"/>
        <w:ind w:left="708" w:right="161"/>
        <w:rPr>
          <w:rFonts w:hint="eastAsia" w:eastAsiaTheme="minorEastAsia"/>
        </w:rPr>
      </w:pPr>
      <w:r>
        <w:t>货物制造商须有专业的售后服务力量。提供售后服务联系电话及联系人。保修期内</w:t>
      </w:r>
      <w:r>
        <w:rPr>
          <w:spacing w:val="-6"/>
        </w:rPr>
        <w:t xml:space="preserve">设备出现故障，卖方应在 </w:t>
      </w:r>
      <w:r>
        <w:rPr>
          <w:spacing w:val="-1"/>
        </w:rPr>
        <w:t>4</w:t>
      </w:r>
      <w:r>
        <w:rPr>
          <w:spacing w:val="-10"/>
        </w:rPr>
        <w:t xml:space="preserve"> 小时内答复，</w:t>
      </w:r>
      <w:r>
        <w:rPr>
          <w:spacing w:val="-1"/>
        </w:rPr>
        <w:t>24</w:t>
      </w:r>
      <w:r>
        <w:rPr>
          <w:spacing w:val="-8"/>
        </w:rPr>
        <w:t xml:space="preserve"> 小时内安排人员赶到现场解决排除故障。如无</w:t>
      </w:r>
      <w:r>
        <w:t>法现场解决排除故障，需提供备用机。</w:t>
      </w:r>
    </w:p>
    <w:p>
      <w:pPr>
        <w:pStyle w:val="2"/>
        <w:wordWrap w:val="0"/>
        <w:spacing w:before="2" w:line="343" w:lineRule="auto"/>
        <w:ind w:left="708" w:right="161"/>
        <w:rPr>
          <w:rFonts w:ascii="宋体" w:hAnsi="宋体" w:eastAsia="宋体" w:cs="宋体"/>
          <w:spacing w:val="-1"/>
        </w:rPr>
      </w:pPr>
      <w:r>
        <w:rPr>
          <w:rFonts w:hint="eastAsia" w:eastAsiaTheme="minorEastAsia"/>
        </w:rPr>
        <w:t>5.</w:t>
      </w:r>
      <w:r>
        <w:rPr>
          <w:rFonts w:hint="eastAsia" w:ascii="宋体" w:hAnsi="宋体" w:eastAsia="宋体" w:cs="宋体"/>
        </w:rPr>
        <w:t>设备在设计使用寿命周期内，成交人应能保证使用方更换到原厂配件，保证设备正常运行。质保期后如果需要更换配件的，要求更换的配件跟被更换的品牌、类型相一致或</w:t>
      </w:r>
      <w:r>
        <w:t>者是同类同档次的替代品，后者需征得用户方管理人员同意。如须增加非报价方的硬件和</w:t>
      </w:r>
      <w:r>
        <w:rPr>
          <w:rFonts w:hint="eastAsia" w:ascii="宋体" w:hAnsi="宋体" w:eastAsia="宋体" w:cs="宋体"/>
          <w:spacing w:val="-1"/>
        </w:rPr>
        <w:t>软件，报价方应协助解决。</w:t>
      </w:r>
    </w:p>
    <w:p>
      <w:pPr>
        <w:pStyle w:val="2"/>
        <w:wordWrap w:val="0"/>
        <w:spacing w:before="2" w:line="343" w:lineRule="auto"/>
        <w:ind w:left="708" w:right="161"/>
        <w:rPr>
          <w:rFonts w:ascii="宋体" w:hAnsi="宋体" w:eastAsia="宋体" w:cs="宋体"/>
          <w:spacing w:val="-1"/>
        </w:rPr>
      </w:pPr>
    </w:p>
    <w:p>
      <w:pPr>
        <w:wordWrap w:val="0"/>
        <w:spacing w:before="160" w:line="211" w:lineRule="auto"/>
        <w:ind w:right="6936" w:firstLine="240" w:firstLineChars="100"/>
        <w:rPr>
          <w:rFonts w:ascii="Microsoft YaHei UI" w:eastAsia="Microsoft YaHei UI"/>
          <w:b/>
          <w:sz w:val="24"/>
        </w:rPr>
      </w:pPr>
      <w:r>
        <w:rPr>
          <w:rFonts w:hint="eastAsia" w:ascii="Microsoft YaHei UI" w:eastAsia="Microsoft YaHei UI"/>
          <w:b/>
          <w:sz w:val="24"/>
        </w:rPr>
        <w:t>四、售后服务要求</w:t>
      </w:r>
    </w:p>
    <w:p>
      <w:pPr>
        <w:pStyle w:val="2"/>
        <w:wordWrap w:val="0"/>
        <w:spacing w:before="77" w:line="345" w:lineRule="auto"/>
        <w:ind w:left="708" w:right="456"/>
      </w:pPr>
      <w:r>
        <w:rPr>
          <w:spacing w:val="-1"/>
        </w:rPr>
        <w:t>应保证提供充实的服务内容、完善的服务措施、快速的服务速度、有效的保证机制。</w:t>
      </w:r>
      <w:r>
        <w:t>1、验收和培训：</w:t>
      </w:r>
    </w:p>
    <w:p>
      <w:pPr>
        <w:pStyle w:val="2"/>
        <w:wordWrap w:val="0"/>
        <w:spacing w:line="303" w:lineRule="exact"/>
        <w:ind w:left="708"/>
      </w:pPr>
      <w:r>
        <w:t>成交人需按我院要求提供设备操作培训，如有必要，需提供临床应用培训和工程师培</w:t>
      </w:r>
    </w:p>
    <w:p>
      <w:pPr>
        <w:pStyle w:val="2"/>
        <w:wordWrap w:val="0"/>
        <w:spacing w:before="131"/>
        <w:ind w:left="227"/>
      </w:pPr>
      <w:r>
        <w:t>训。</w:t>
      </w:r>
    </w:p>
    <w:p>
      <w:pPr>
        <w:pStyle w:val="2"/>
        <w:wordWrap w:val="0"/>
        <w:spacing w:before="134"/>
        <w:ind w:left="708"/>
      </w:pPr>
      <w:r>
        <w:t>必须由成交供应商安排技术人员到现场安装设备并在采购人在场的情况下完成设备性</w:t>
      </w:r>
    </w:p>
    <w:p>
      <w:pPr>
        <w:pStyle w:val="2"/>
        <w:wordWrap w:val="0"/>
        <w:spacing w:before="132" w:line="343" w:lineRule="auto"/>
        <w:ind w:left="227" w:right="404"/>
      </w:pPr>
      <w:r>
        <w:t>能的证明文件。在设备完全正常运转，由采购人确认后，才算设备验收合格，全部费用应包括在报价价格之内；现场验收和培训所发生的一切费用由供应商承担。</w:t>
      </w:r>
    </w:p>
    <w:p>
      <w:pPr>
        <w:pStyle w:val="2"/>
        <w:wordWrap w:val="0"/>
        <w:spacing w:before="2"/>
        <w:ind w:left="227" w:firstLine="480"/>
      </w:pPr>
      <w:r>
        <w:t>2</w:t>
      </w:r>
      <w:r>
        <w:rPr>
          <w:spacing w:val="-19"/>
        </w:rPr>
        <w:t>、文件资料：货物和附件的装箱清单；货物质量合格检定证明文件；货物保修服务卡；</w:t>
      </w:r>
    </w:p>
    <w:p>
      <w:pPr>
        <w:pStyle w:val="2"/>
        <w:wordWrap w:val="0"/>
        <w:spacing w:line="440" w:lineRule="atLeast"/>
        <w:ind w:left="227" w:right="404"/>
      </w:pPr>
      <w:r>
        <w:t>提供一套操作说明书、维修手册、电路图本、电气说明书、包括外构件的详细资料等，进口产品必须提供中英文使用操作手册和维修手册，上述资料随设备提供。</w:t>
      </w:r>
    </w:p>
    <w:p>
      <w:pPr>
        <w:wordWrap w:val="0"/>
        <w:spacing w:line="383" w:lineRule="exact"/>
        <w:ind w:left="227"/>
        <w:rPr>
          <w:rFonts w:ascii="Microsoft YaHei UI" w:eastAsia="Microsoft YaHei UI"/>
          <w:b/>
          <w:sz w:val="24"/>
        </w:rPr>
      </w:pPr>
      <w:r>
        <w:rPr>
          <w:rFonts w:hint="eastAsia" w:ascii="Microsoft YaHei UI" w:eastAsia="Microsoft YaHei UI"/>
          <w:b/>
          <w:sz w:val="24"/>
        </w:rPr>
        <w:t>五、付款方式</w:t>
      </w:r>
    </w:p>
    <w:p>
      <w:pPr>
        <w:pStyle w:val="2"/>
        <w:wordWrap w:val="0"/>
        <w:spacing w:line="245" w:lineRule="exact"/>
        <w:ind w:left="818"/>
      </w:pPr>
      <w:r>
        <w:t>采购人所需货物到达指定现场并经试用性能达到采购文件要求，经甲方验收合格后，</w:t>
      </w:r>
    </w:p>
    <w:p>
      <w:pPr>
        <w:pStyle w:val="2"/>
        <w:wordWrap w:val="0"/>
        <w:spacing w:before="132" w:line="343" w:lineRule="auto"/>
        <w:ind w:left="227" w:right="330"/>
        <w:rPr>
          <w:rFonts w:hint="eastAsia" w:eastAsiaTheme="minorEastAsia"/>
        </w:rPr>
      </w:pP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t>同</w:t>
      </w:r>
      <w:r>
        <w:rPr>
          <w:rFonts w:hint="eastAsia" w:eastAsiaTheme="minorEastAsia"/>
        </w:rPr>
        <w:t>总</w:t>
      </w:r>
      <w:r>
        <w:t>价</w:t>
      </w:r>
      <w:r>
        <w:rPr>
          <w:rFonts w:hint="eastAsia" w:asciiTheme="minorEastAsia" w:hAnsiTheme="minorEastAsia" w:eastAsiaTheme="minorEastAsia"/>
        </w:rPr>
        <w:t>60%；设备正常使用3月后再付30%；设备正常运行12个月后，经甲方审核通过后付总款10%</w:t>
      </w:r>
      <w:r>
        <w:t>。</w:t>
      </w:r>
    </w:p>
    <w:p>
      <w:pPr>
        <w:pStyle w:val="2"/>
        <w:wordWrap w:val="0"/>
        <w:spacing w:before="1" w:line="343" w:lineRule="auto"/>
        <w:ind w:left="227" w:right="402" w:firstLine="480"/>
      </w:pPr>
      <w:r>
        <w:t>成交人应根据采购人实付金额提供等额税务发票，税务发票为成交供应商公司名称开</w:t>
      </w:r>
      <w:r>
        <w:rPr>
          <w:spacing w:val="-7"/>
        </w:rPr>
        <w:t>具。备注：宿迁市中医院统一社会信用代码号为</w:t>
      </w:r>
      <w:r>
        <w:rPr>
          <w:spacing w:val="1"/>
        </w:rPr>
        <w:t>（</w:t>
      </w:r>
      <w:r>
        <w:rPr>
          <w:color w:val="000000" w:themeColor="text1"/>
        </w:rPr>
        <w:t>123</w:t>
      </w:r>
      <w:r>
        <w:rPr>
          <w:rFonts w:hint="eastAsia" w:asciiTheme="minorEastAsia" w:hAnsiTheme="minorEastAsia" w:eastAsiaTheme="minorEastAsia"/>
          <w:color w:val="000000" w:themeColor="text1"/>
        </w:rPr>
        <w:t>21321469734861W</w:t>
      </w:r>
      <w:r>
        <w:rPr>
          <w:spacing w:val="-120"/>
        </w:rPr>
        <w:t>）</w:t>
      </w:r>
      <w:r>
        <w:rPr>
          <w:spacing w:val="-8"/>
        </w:rPr>
        <w:t>，发票上要</w:t>
      </w:r>
    </w:p>
    <w:p>
      <w:pPr>
        <w:pStyle w:val="2"/>
        <w:wordWrap w:val="0"/>
        <w:spacing w:line="285" w:lineRule="exact"/>
        <w:ind w:left="227"/>
      </w:pPr>
      <w:r>
        <w:t>载明明细。</w:t>
      </w:r>
    </w:p>
    <w:p>
      <w:pPr>
        <w:pStyle w:val="2"/>
        <w:wordWrap w:val="0"/>
        <w:spacing w:before="2" w:line="343" w:lineRule="auto"/>
        <w:ind w:left="708" w:right="161"/>
        <w:rPr>
          <w:rFonts w:ascii="宋体" w:hAnsi="宋体" w:eastAsia="宋体" w:cs="宋体"/>
          <w:spacing w:val="-1"/>
        </w:rPr>
        <w:sectPr>
          <w:pgSz w:w="11910" w:h="16840"/>
          <w:pgMar w:top="1280" w:right="840" w:bottom="960" w:left="1020" w:header="877" w:footer="770" w:gutter="0"/>
          <w:cols w:space="720" w:num="1"/>
        </w:sectPr>
      </w:pPr>
    </w:p>
    <w:p>
      <w:pPr>
        <w:pStyle w:val="2"/>
        <w:wordWrap w:val="0"/>
        <w:spacing w:before="10"/>
        <w:rPr>
          <w:sz w:val="3"/>
        </w:rPr>
      </w:pPr>
    </w:p>
    <w:p>
      <w:pPr>
        <w:pStyle w:val="12"/>
        <w:tabs>
          <w:tab w:val="left" w:pos="4203"/>
        </w:tabs>
        <w:wordWrap w:val="0"/>
        <w:spacing w:line="669" w:lineRule="exact"/>
        <w:ind w:left="1994" w:right="0"/>
        <w:jc w:val="left"/>
      </w:pPr>
      <w:r>
        <w:pict>
          <v:rect id="_x0000_s2082" o:spid="_x0000_s2082" o:spt="1" style="position:absolute;left:0pt;margin-left:60.95pt;margin-top:2.45pt;height:0.7pt;width:473.6pt;mso-position-horizontal-relative:page;z-index:-251649024;mso-width-relative:page;mso-height-relative:page;" fillcolor="#000000" filled="t" stroked="f" coordsize="21600,21600">
            <v:path/>
            <v:fill on="t" focussize="0,0"/>
            <v:stroke on="f"/>
            <v:imagedata o:title=""/>
            <o:lock v:ext="edit"/>
          </v:rect>
        </w:pict>
      </w:r>
      <w:bookmarkStart w:id="12" w:name="_TOC_250001"/>
      <w:r>
        <w:t>第五部分</w:t>
      </w:r>
      <w:r>
        <w:tab/>
      </w:r>
      <w:bookmarkEnd w:id="12"/>
      <w:r>
        <w:rPr>
          <w:w w:val="95"/>
        </w:rPr>
        <w:t>合同格式及条款（草案）</w:t>
      </w:r>
    </w:p>
    <w:p>
      <w:pPr>
        <w:pStyle w:val="2"/>
        <w:tabs>
          <w:tab w:val="left" w:pos="3348"/>
          <w:tab w:val="left" w:pos="7309"/>
        </w:tabs>
        <w:wordWrap w:val="0"/>
        <w:spacing w:before="347" w:line="374" w:lineRule="auto"/>
        <w:ind w:left="708" w:right="1295"/>
      </w:pPr>
      <w:r>
        <w:t>采购单位（全称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u w:val="single"/>
        </w:rPr>
        <w:t>宿迁市中医院</w:t>
      </w:r>
      <w:r>
        <w:rPr>
          <w:u w:val="single"/>
        </w:rPr>
        <w:tab/>
      </w:r>
      <w:r>
        <w:t>（简称甲方</w:t>
      </w:r>
      <w:r>
        <w:rPr>
          <w:spacing w:val="-18"/>
        </w:rPr>
        <w:t>）</w:t>
      </w:r>
      <w:r>
        <w:t>成交供应商（全称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（简称乙方</w:t>
      </w:r>
      <w:r>
        <w:rPr>
          <w:spacing w:val="-18"/>
        </w:rPr>
        <w:t>）</w:t>
      </w:r>
    </w:p>
    <w:p>
      <w:pPr>
        <w:pStyle w:val="2"/>
        <w:wordWrap w:val="0"/>
        <w:spacing w:before="1" w:line="374" w:lineRule="auto"/>
        <w:ind w:left="227" w:right="403" w:firstLine="480"/>
      </w:pPr>
      <w:r>
        <w:rPr>
          <w:spacing w:val="-2"/>
        </w:rPr>
        <w:t>依照《中华人民共和国政府采购法</w:t>
      </w:r>
      <w:r>
        <w:rPr>
          <w:spacing w:val="-14"/>
        </w:rPr>
        <w:t>》《中华人民共和国合同法》及其他有关法律、行政</w:t>
      </w:r>
      <w:r>
        <w:t>法规，遵循平等、自愿、公平和诚实信用的原则，双方协商一致，达成如下合同条款：</w:t>
      </w:r>
    </w:p>
    <w:p>
      <w:pPr>
        <w:tabs>
          <w:tab w:val="left" w:pos="1610"/>
        </w:tabs>
        <w:wordWrap w:val="0"/>
        <w:spacing w:line="363" w:lineRule="exact"/>
        <w:ind w:left="648"/>
        <w:rPr>
          <w:rFonts w:ascii="Microsoft YaHei UI" w:eastAsia="Microsoft YaHei UI"/>
          <w:b/>
          <w:sz w:val="24"/>
        </w:rPr>
      </w:pPr>
      <w:r>
        <w:rPr>
          <w:rFonts w:hint="eastAsia" w:ascii="Microsoft YaHei UI" w:eastAsia="Microsoft YaHei UI"/>
          <w:b/>
          <w:sz w:val="24"/>
        </w:rPr>
        <w:t>第一条</w:t>
      </w:r>
      <w:r>
        <w:rPr>
          <w:rFonts w:hint="eastAsia" w:ascii="Microsoft YaHei UI" w:eastAsia="Microsoft YaHei UI"/>
          <w:b/>
          <w:sz w:val="24"/>
        </w:rPr>
        <w:tab/>
      </w:r>
      <w:r>
        <w:rPr>
          <w:rFonts w:hint="eastAsia" w:ascii="Microsoft YaHei UI" w:eastAsia="Microsoft YaHei UI"/>
          <w:b/>
          <w:sz w:val="24"/>
        </w:rPr>
        <w:t>合同标的</w:t>
      </w:r>
    </w:p>
    <w:p>
      <w:pPr>
        <w:pStyle w:val="2"/>
        <w:wordWrap w:val="0"/>
        <w:spacing w:before="118" w:after="28"/>
        <w:ind w:left="648"/>
      </w:pPr>
      <w:r>
        <w:t>乙方根据甲方需求提供下列货物：</w:t>
      </w:r>
    </w:p>
    <w:tbl>
      <w:tblPr>
        <w:tblStyle w:val="9"/>
        <w:tblW w:w="0" w:type="auto"/>
        <w:tblInd w:w="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1277"/>
        <w:gridCol w:w="1557"/>
        <w:gridCol w:w="1418"/>
        <w:gridCol w:w="707"/>
        <w:gridCol w:w="1276"/>
        <w:gridCol w:w="1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243" w:type="dxa"/>
          </w:tcPr>
          <w:p>
            <w:pPr>
              <w:pStyle w:val="15"/>
              <w:wordWrap w:val="0"/>
              <w:spacing w:before="144"/>
              <w:ind w:left="361" w:right="352"/>
              <w:jc w:val="center"/>
              <w:rPr>
                <w:sz w:val="24"/>
              </w:rPr>
            </w:pPr>
            <w:r>
              <w:rPr>
                <w:sz w:val="24"/>
              </w:rPr>
              <w:t>序号</w:t>
            </w:r>
          </w:p>
        </w:tc>
        <w:tc>
          <w:tcPr>
            <w:tcW w:w="1277" w:type="dxa"/>
          </w:tcPr>
          <w:p>
            <w:pPr>
              <w:pStyle w:val="15"/>
              <w:wordWrap w:val="0"/>
              <w:spacing w:before="144"/>
              <w:ind w:left="398"/>
              <w:rPr>
                <w:sz w:val="24"/>
              </w:rPr>
            </w:pPr>
            <w:r>
              <w:rPr>
                <w:sz w:val="24"/>
              </w:rPr>
              <w:t>名称</w:t>
            </w:r>
          </w:p>
        </w:tc>
        <w:tc>
          <w:tcPr>
            <w:tcW w:w="1557" w:type="dxa"/>
          </w:tcPr>
          <w:p>
            <w:pPr>
              <w:pStyle w:val="15"/>
              <w:wordWrap w:val="0"/>
              <w:spacing w:before="144"/>
              <w:ind w:left="297"/>
              <w:rPr>
                <w:sz w:val="24"/>
              </w:rPr>
            </w:pPr>
            <w:r>
              <w:rPr>
                <w:sz w:val="24"/>
              </w:rPr>
              <w:t>品牌型号</w:t>
            </w:r>
          </w:p>
        </w:tc>
        <w:tc>
          <w:tcPr>
            <w:tcW w:w="1418" w:type="dxa"/>
          </w:tcPr>
          <w:p>
            <w:pPr>
              <w:pStyle w:val="15"/>
              <w:wordWrap w:val="0"/>
              <w:spacing w:before="144"/>
              <w:ind w:left="108"/>
              <w:rPr>
                <w:sz w:val="24"/>
              </w:rPr>
            </w:pPr>
            <w:r>
              <w:rPr>
                <w:sz w:val="24"/>
              </w:rPr>
              <w:t>单价（元）</w:t>
            </w:r>
          </w:p>
        </w:tc>
        <w:tc>
          <w:tcPr>
            <w:tcW w:w="707" w:type="dxa"/>
          </w:tcPr>
          <w:p>
            <w:pPr>
              <w:pStyle w:val="15"/>
              <w:wordWrap w:val="0"/>
              <w:spacing w:before="144"/>
              <w:ind w:left="114"/>
              <w:rPr>
                <w:sz w:val="24"/>
              </w:rPr>
            </w:pPr>
            <w:r>
              <w:rPr>
                <w:sz w:val="24"/>
              </w:rPr>
              <w:t>数量</w:t>
            </w:r>
          </w:p>
        </w:tc>
        <w:tc>
          <w:tcPr>
            <w:tcW w:w="1276" w:type="dxa"/>
          </w:tcPr>
          <w:p>
            <w:pPr>
              <w:pStyle w:val="15"/>
              <w:wordWrap w:val="0"/>
              <w:spacing w:before="144"/>
              <w:ind w:left="110" w:right="-29"/>
              <w:rPr>
                <w:sz w:val="24"/>
              </w:rPr>
            </w:pPr>
            <w:r>
              <w:rPr>
                <w:spacing w:val="-5"/>
                <w:sz w:val="24"/>
              </w:rPr>
              <w:t>总价</w:t>
            </w:r>
            <w:r>
              <w:rPr>
                <w:spacing w:val="-4"/>
                <w:sz w:val="24"/>
              </w:rPr>
              <w:t>（元）</w:t>
            </w:r>
          </w:p>
        </w:tc>
        <w:tc>
          <w:tcPr>
            <w:tcW w:w="1041" w:type="dxa"/>
          </w:tcPr>
          <w:p>
            <w:pPr>
              <w:pStyle w:val="15"/>
              <w:wordWrap w:val="0"/>
              <w:spacing w:before="144"/>
              <w:ind w:left="282"/>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43" w:type="dxa"/>
          </w:tcPr>
          <w:p>
            <w:pPr>
              <w:pStyle w:val="15"/>
              <w:wordWrap w:val="0"/>
              <w:spacing w:before="143"/>
              <w:ind w:left="9"/>
              <w:jc w:val="center"/>
              <w:rPr>
                <w:sz w:val="24"/>
              </w:rPr>
            </w:pPr>
            <w:r>
              <w:rPr>
                <w:sz w:val="24"/>
              </w:rPr>
              <w:t>1</w:t>
            </w:r>
          </w:p>
        </w:tc>
        <w:tc>
          <w:tcPr>
            <w:tcW w:w="1277" w:type="dxa"/>
          </w:tcPr>
          <w:p>
            <w:pPr>
              <w:pStyle w:val="15"/>
              <w:wordWrap w:val="0"/>
              <w:rPr>
                <w:rFonts w:ascii="Times New Roman"/>
                <w:sz w:val="24"/>
              </w:rPr>
            </w:pPr>
          </w:p>
        </w:tc>
        <w:tc>
          <w:tcPr>
            <w:tcW w:w="1557" w:type="dxa"/>
          </w:tcPr>
          <w:p>
            <w:pPr>
              <w:pStyle w:val="15"/>
              <w:wordWrap w:val="0"/>
              <w:rPr>
                <w:rFonts w:ascii="Times New Roman"/>
                <w:sz w:val="24"/>
              </w:rPr>
            </w:pPr>
          </w:p>
        </w:tc>
        <w:tc>
          <w:tcPr>
            <w:tcW w:w="1418" w:type="dxa"/>
          </w:tcPr>
          <w:p>
            <w:pPr>
              <w:pStyle w:val="15"/>
              <w:wordWrap w:val="0"/>
              <w:rPr>
                <w:rFonts w:ascii="Times New Roman"/>
                <w:sz w:val="24"/>
              </w:rPr>
            </w:pPr>
          </w:p>
        </w:tc>
        <w:tc>
          <w:tcPr>
            <w:tcW w:w="707" w:type="dxa"/>
          </w:tcPr>
          <w:p>
            <w:pPr>
              <w:pStyle w:val="15"/>
              <w:wordWrap w:val="0"/>
              <w:rPr>
                <w:rFonts w:ascii="Times New Roman"/>
                <w:sz w:val="24"/>
              </w:rPr>
            </w:pPr>
          </w:p>
        </w:tc>
        <w:tc>
          <w:tcPr>
            <w:tcW w:w="1276" w:type="dxa"/>
          </w:tcPr>
          <w:p>
            <w:pPr>
              <w:pStyle w:val="15"/>
              <w:wordWrap w:val="0"/>
              <w:rPr>
                <w:rFonts w:ascii="Times New Roman"/>
                <w:sz w:val="24"/>
              </w:rPr>
            </w:pPr>
          </w:p>
        </w:tc>
        <w:tc>
          <w:tcPr>
            <w:tcW w:w="1041" w:type="dxa"/>
          </w:tcPr>
          <w:p>
            <w:pPr>
              <w:pStyle w:val="15"/>
              <w:wordWrap w:val="0"/>
              <w:rPr>
                <w:rFonts w:ascii="Times New Roman"/>
                <w:sz w:val="24"/>
              </w:rPr>
            </w:pPr>
          </w:p>
        </w:tc>
      </w:tr>
    </w:tbl>
    <w:p>
      <w:pPr>
        <w:pStyle w:val="2"/>
        <w:tabs>
          <w:tab w:val="left" w:pos="5830"/>
          <w:tab w:val="left" w:pos="7575"/>
        </w:tabs>
        <w:wordWrap w:val="0"/>
        <w:spacing w:before="144"/>
        <w:ind w:left="1334"/>
        <w:rPr>
          <w:rFonts w:ascii="MingLiU_HKSCS-ExtB" w:hAnsi="MingLiU_HKSCS-ExtB" w:eastAsia="MingLiU_HKSCS-ExtB"/>
        </w:rPr>
      </w:pPr>
      <w:r>
        <w:t>合计：人民币（大写）</w:t>
      </w:r>
      <w:r>
        <w:rPr>
          <w:rFonts w:ascii="Times New Roman" w:hAnsi="Times New Roman" w:eastAsia="Times New Roman"/>
          <w:u w:val="single"/>
        </w:rPr>
        <w:tab/>
      </w:r>
      <w:r>
        <w:t>，￥</w:t>
      </w:r>
      <w:r>
        <w:rPr>
          <w:rFonts w:ascii="Times New Roman" w:hAnsi="Times New Roman" w:eastAsia="Times New Roman"/>
          <w:u w:val="single"/>
        </w:rPr>
        <w:tab/>
      </w:r>
      <w:r>
        <w:t>元。</w:t>
      </w:r>
      <w:r>
        <w:rPr>
          <w:rFonts w:ascii="MingLiU_HKSCS-ExtB" w:hAnsi="MingLiU_HKSCS-ExtB" w:eastAsia="MingLiU_HKSCS-ExtB"/>
        </w:rPr>
        <w:t></w:t>
      </w:r>
    </w:p>
    <w:p>
      <w:pPr>
        <w:pStyle w:val="2"/>
        <w:wordWrap w:val="0"/>
        <w:spacing w:before="144" w:line="374" w:lineRule="auto"/>
        <w:ind w:left="227" w:right="406" w:firstLine="480"/>
      </w:pPr>
      <w:r>
        <w:t>本合同总价款是货物设计、制造、包装、仓储、运输、安装及验收合格之前及保修期内备品备件发生的所有含税费用。本合同总价款还包含乙方应当提供的售后服务费用。</w:t>
      </w:r>
    </w:p>
    <w:p>
      <w:pPr>
        <w:tabs>
          <w:tab w:val="left" w:pos="1795"/>
        </w:tabs>
        <w:wordWrap w:val="0"/>
        <w:spacing w:line="363" w:lineRule="exact"/>
        <w:ind w:left="710"/>
        <w:rPr>
          <w:rFonts w:ascii="Microsoft YaHei UI" w:eastAsia="Microsoft YaHei UI"/>
          <w:b/>
          <w:sz w:val="24"/>
        </w:rPr>
      </w:pPr>
      <w:r>
        <w:rPr>
          <w:rFonts w:hint="eastAsia" w:ascii="Microsoft YaHei UI" w:eastAsia="Microsoft YaHei UI"/>
          <w:b/>
          <w:sz w:val="24"/>
        </w:rPr>
        <w:t>第二条</w:t>
      </w:r>
      <w:r>
        <w:rPr>
          <w:rFonts w:hint="eastAsia" w:ascii="Microsoft YaHei UI" w:eastAsia="Microsoft YaHei UI"/>
          <w:b/>
          <w:sz w:val="24"/>
        </w:rPr>
        <w:tab/>
      </w:r>
      <w:r>
        <w:rPr>
          <w:rFonts w:hint="eastAsia" w:ascii="Microsoft YaHei UI" w:eastAsia="Microsoft YaHei UI"/>
          <w:b/>
          <w:sz w:val="24"/>
        </w:rPr>
        <w:t>合同的组成</w:t>
      </w:r>
    </w:p>
    <w:p>
      <w:pPr>
        <w:pStyle w:val="14"/>
        <w:numPr>
          <w:ilvl w:val="0"/>
          <w:numId w:val="32"/>
        </w:numPr>
        <w:tabs>
          <w:tab w:val="left" w:pos="950"/>
        </w:tabs>
        <w:wordWrap w:val="0"/>
        <w:spacing w:before="118"/>
        <w:ind w:hanging="242"/>
        <w:rPr>
          <w:sz w:val="24"/>
        </w:rPr>
      </w:pPr>
      <w:r>
        <w:rPr>
          <w:sz w:val="24"/>
        </w:rPr>
        <w:t>本合同条款；</w:t>
      </w:r>
    </w:p>
    <w:p>
      <w:pPr>
        <w:pStyle w:val="14"/>
        <w:numPr>
          <w:ilvl w:val="0"/>
          <w:numId w:val="32"/>
        </w:numPr>
        <w:tabs>
          <w:tab w:val="left" w:pos="950"/>
        </w:tabs>
        <w:wordWrap w:val="0"/>
        <w:spacing w:before="173"/>
        <w:ind w:hanging="242"/>
        <w:rPr>
          <w:sz w:val="24"/>
        </w:rPr>
      </w:pPr>
      <w:r>
        <w:rPr>
          <w:sz w:val="24"/>
        </w:rPr>
        <w:t>合同附件（如有</w:t>
      </w:r>
      <w:r>
        <w:rPr>
          <w:spacing w:val="-120"/>
          <w:sz w:val="24"/>
        </w:rPr>
        <w:t>）</w:t>
      </w:r>
      <w:r>
        <w:rPr>
          <w:sz w:val="24"/>
        </w:rPr>
        <w:t>；</w:t>
      </w:r>
    </w:p>
    <w:p>
      <w:pPr>
        <w:pStyle w:val="14"/>
        <w:numPr>
          <w:ilvl w:val="0"/>
          <w:numId w:val="32"/>
        </w:numPr>
        <w:tabs>
          <w:tab w:val="left" w:pos="950"/>
        </w:tabs>
        <w:wordWrap w:val="0"/>
        <w:spacing w:before="172"/>
        <w:ind w:hanging="242"/>
        <w:rPr>
          <w:sz w:val="24"/>
        </w:rPr>
      </w:pPr>
      <w:r>
        <w:rPr>
          <w:sz w:val="24"/>
        </w:rPr>
        <w:t>磋商文件；</w:t>
      </w:r>
    </w:p>
    <w:p>
      <w:pPr>
        <w:pStyle w:val="14"/>
        <w:numPr>
          <w:ilvl w:val="0"/>
          <w:numId w:val="32"/>
        </w:numPr>
        <w:tabs>
          <w:tab w:val="left" w:pos="950"/>
        </w:tabs>
        <w:wordWrap w:val="0"/>
        <w:spacing w:before="173"/>
        <w:ind w:hanging="242"/>
        <w:rPr>
          <w:sz w:val="24"/>
        </w:rPr>
      </w:pPr>
      <w:r>
        <w:rPr>
          <w:sz w:val="24"/>
        </w:rPr>
        <w:t>乙方响应文件；</w:t>
      </w:r>
    </w:p>
    <w:p>
      <w:pPr>
        <w:pStyle w:val="14"/>
        <w:numPr>
          <w:ilvl w:val="0"/>
          <w:numId w:val="32"/>
        </w:numPr>
        <w:tabs>
          <w:tab w:val="left" w:pos="950"/>
        </w:tabs>
        <w:wordWrap w:val="0"/>
        <w:spacing w:before="172"/>
        <w:ind w:hanging="242"/>
        <w:rPr>
          <w:sz w:val="24"/>
        </w:rPr>
      </w:pPr>
      <w:r>
        <w:rPr>
          <w:sz w:val="24"/>
        </w:rPr>
        <w:t>乙方的最终报价及承诺书；</w:t>
      </w:r>
    </w:p>
    <w:p>
      <w:pPr>
        <w:pStyle w:val="14"/>
        <w:numPr>
          <w:ilvl w:val="0"/>
          <w:numId w:val="32"/>
        </w:numPr>
        <w:tabs>
          <w:tab w:val="left" w:pos="950"/>
        </w:tabs>
        <w:wordWrap w:val="0"/>
        <w:spacing w:before="173"/>
        <w:ind w:hanging="242"/>
        <w:rPr>
          <w:sz w:val="24"/>
        </w:rPr>
      </w:pPr>
      <w:r>
        <w:rPr>
          <w:sz w:val="24"/>
        </w:rPr>
        <w:t>成交通知书</w:t>
      </w:r>
    </w:p>
    <w:p>
      <w:pPr>
        <w:pStyle w:val="14"/>
        <w:numPr>
          <w:ilvl w:val="0"/>
          <w:numId w:val="32"/>
        </w:numPr>
        <w:tabs>
          <w:tab w:val="left" w:pos="1069"/>
        </w:tabs>
        <w:wordWrap w:val="0"/>
        <w:spacing w:before="172"/>
        <w:ind w:left="1068" w:hanging="361"/>
        <w:jc w:val="both"/>
        <w:rPr>
          <w:sz w:val="24"/>
        </w:rPr>
      </w:pPr>
      <w:r>
        <w:rPr>
          <w:sz w:val="24"/>
        </w:rPr>
        <w:t>乙方提供的由制造商出具的原厂质保承诺函；</w:t>
      </w:r>
    </w:p>
    <w:p>
      <w:pPr>
        <w:pStyle w:val="14"/>
        <w:numPr>
          <w:ilvl w:val="0"/>
          <w:numId w:val="32"/>
        </w:numPr>
        <w:tabs>
          <w:tab w:val="left" w:pos="950"/>
        </w:tabs>
        <w:wordWrap w:val="0"/>
        <w:spacing w:before="173" w:line="297" w:lineRule="auto"/>
        <w:ind w:left="648" w:right="3455" w:firstLine="60"/>
        <w:jc w:val="both"/>
        <w:rPr>
          <w:rFonts w:ascii="Microsoft YaHei UI" w:hAnsi="Microsoft YaHei UI" w:eastAsia="Microsoft YaHei UI"/>
          <w:b/>
          <w:sz w:val="24"/>
        </w:rPr>
      </w:pPr>
      <w:r>
        <w:rPr>
          <w:spacing w:val="-1"/>
          <w:sz w:val="24"/>
        </w:rPr>
        <w:t>甲乙双方商定的其他文件</w:t>
      </w:r>
      <w:r>
        <w:rPr>
          <w:sz w:val="24"/>
        </w:rPr>
        <w:t>（如有</w:t>
      </w:r>
      <w:r>
        <w:rPr>
          <w:spacing w:val="-120"/>
          <w:sz w:val="24"/>
        </w:rPr>
        <w:t>）</w:t>
      </w:r>
      <w:r>
        <w:rPr>
          <w:sz w:val="24"/>
        </w:rPr>
        <w:t>。</w:t>
      </w:r>
    </w:p>
    <w:p>
      <w:pPr>
        <w:pStyle w:val="14"/>
        <w:tabs>
          <w:tab w:val="left" w:pos="950"/>
        </w:tabs>
        <w:wordWrap w:val="0"/>
        <w:spacing w:before="173" w:line="297" w:lineRule="auto"/>
        <w:ind w:left="708" w:right="3455" w:firstLine="0"/>
        <w:jc w:val="both"/>
        <w:rPr>
          <w:rFonts w:ascii="Microsoft YaHei UI" w:hAnsi="Microsoft YaHei UI" w:eastAsia="Microsoft YaHei UI"/>
          <w:b/>
          <w:sz w:val="24"/>
        </w:rPr>
      </w:pPr>
      <w:r>
        <w:rPr>
          <w:rFonts w:hint="eastAsia" w:ascii="Microsoft YaHei UI" w:hAnsi="Microsoft YaHei UI" w:eastAsia="Microsoft YaHei UI"/>
          <w:b/>
          <w:sz w:val="24"/>
        </w:rPr>
        <w:t>第三条 质量技术标准</w:t>
      </w:r>
    </w:p>
    <w:p>
      <w:pPr>
        <w:pStyle w:val="14"/>
        <w:numPr>
          <w:ilvl w:val="0"/>
          <w:numId w:val="33"/>
        </w:numPr>
        <w:tabs>
          <w:tab w:val="left" w:pos="950"/>
        </w:tabs>
        <w:wordWrap w:val="0"/>
        <w:spacing w:before="15" w:line="374" w:lineRule="auto"/>
        <w:ind w:left="227" w:right="403" w:firstLine="480"/>
        <w:jc w:val="both"/>
        <w:rPr>
          <w:sz w:val="24"/>
        </w:rPr>
      </w:pPr>
      <w:r>
        <w:rPr>
          <w:spacing w:val="-6"/>
          <w:sz w:val="24"/>
        </w:rPr>
        <w:t>特别提醒条款： 提供产品必须符合国家相关行业标准。否则由此引起的一切责任由</w:t>
      </w:r>
      <w:r>
        <w:rPr>
          <w:sz w:val="24"/>
        </w:rPr>
        <w:t>乙方负责。</w:t>
      </w:r>
    </w:p>
    <w:p>
      <w:pPr>
        <w:pStyle w:val="14"/>
        <w:numPr>
          <w:ilvl w:val="0"/>
          <w:numId w:val="33"/>
        </w:numPr>
        <w:tabs>
          <w:tab w:val="left" w:pos="951"/>
        </w:tabs>
        <w:wordWrap w:val="0"/>
        <w:spacing w:before="1" w:line="374" w:lineRule="auto"/>
        <w:ind w:left="227" w:right="404" w:firstLine="480"/>
        <w:jc w:val="both"/>
        <w:rPr>
          <w:sz w:val="24"/>
        </w:rPr>
      </w:pPr>
      <w:r>
        <w:rPr>
          <w:sz w:val="24"/>
        </w:rPr>
        <w:t>乙方所提供的货物的技术规格应与磋商文件规定的技术规格及响应文件中技术规格响应表相一致；若技术性能无特殊说明或无技术规格响应表，则按国家有关部门最新颁布的标准及规范为准。</w:t>
      </w:r>
    </w:p>
    <w:p>
      <w:pPr>
        <w:pStyle w:val="14"/>
        <w:numPr>
          <w:ilvl w:val="0"/>
          <w:numId w:val="33"/>
        </w:numPr>
        <w:tabs>
          <w:tab w:val="left" w:pos="951"/>
        </w:tabs>
        <w:wordWrap w:val="0"/>
        <w:spacing w:before="0"/>
        <w:ind w:left="950" w:hanging="243"/>
        <w:rPr>
          <w:sz w:val="24"/>
        </w:rPr>
      </w:pPr>
      <w:r>
        <w:rPr>
          <w:sz w:val="24"/>
        </w:rPr>
        <w:t>乙方应保证货物是全新、未使用过的原装合格正品，并完全符合合同规定的数量、</w:t>
      </w:r>
    </w:p>
    <w:p>
      <w:pPr>
        <w:wordWrap w:val="0"/>
        <w:rPr>
          <w:sz w:val="24"/>
        </w:rPr>
        <w:sectPr>
          <w:pgSz w:w="11910" w:h="16840"/>
          <w:pgMar w:top="1280" w:right="840" w:bottom="960" w:left="1020" w:header="877" w:footer="770" w:gutter="0"/>
          <w:cols w:space="720" w:num="1"/>
        </w:sectPr>
      </w:pPr>
    </w:p>
    <w:p>
      <w:pPr>
        <w:pStyle w:val="2"/>
        <w:wordWrap w:val="0"/>
        <w:spacing w:before="144" w:line="374" w:lineRule="auto"/>
        <w:ind w:left="227" w:right="404"/>
      </w:pPr>
      <w:r>
        <w:t>规格、和性能的要求，否则按退货处理。货物验收后，在免费保修期内，乙方应对由于设计、工艺或材料的缺陷而发生的任何不足或故障负责，并承担由此引起的一切后果。</w:t>
      </w:r>
    </w:p>
    <w:p>
      <w:pPr>
        <w:tabs>
          <w:tab w:val="left" w:pos="1795"/>
        </w:tabs>
        <w:wordWrap w:val="0"/>
        <w:spacing w:line="363" w:lineRule="exact"/>
        <w:ind w:left="710"/>
        <w:rPr>
          <w:rFonts w:ascii="Microsoft YaHei UI" w:eastAsia="Microsoft YaHei UI"/>
          <w:b/>
          <w:sz w:val="24"/>
        </w:rPr>
      </w:pPr>
      <w:r>
        <w:rPr>
          <w:rFonts w:hint="eastAsia" w:ascii="Microsoft YaHei UI" w:eastAsia="Microsoft YaHei UI"/>
          <w:b/>
          <w:sz w:val="24"/>
        </w:rPr>
        <w:t>第四条</w:t>
      </w:r>
      <w:r>
        <w:rPr>
          <w:rFonts w:hint="eastAsia" w:ascii="Microsoft YaHei UI" w:eastAsia="Microsoft YaHei UI"/>
          <w:b/>
          <w:sz w:val="24"/>
        </w:rPr>
        <w:tab/>
      </w:r>
      <w:r>
        <w:rPr>
          <w:rFonts w:hint="eastAsia" w:ascii="Microsoft YaHei UI" w:eastAsia="Microsoft YaHei UI"/>
          <w:b/>
          <w:sz w:val="24"/>
        </w:rPr>
        <w:t>交付和验收</w:t>
      </w:r>
    </w:p>
    <w:p>
      <w:pPr>
        <w:pStyle w:val="14"/>
        <w:numPr>
          <w:ilvl w:val="0"/>
          <w:numId w:val="34"/>
        </w:numPr>
        <w:tabs>
          <w:tab w:val="left" w:pos="951"/>
        </w:tabs>
        <w:wordWrap w:val="0"/>
        <w:spacing w:before="118" w:line="374" w:lineRule="auto"/>
        <w:ind w:left="227" w:right="401" w:firstLine="480"/>
        <w:jc w:val="both"/>
        <w:rPr>
          <w:sz w:val="24"/>
        </w:rPr>
      </w:pPr>
      <w:r>
        <w:rPr>
          <w:sz w:val="24"/>
        </w:rPr>
        <w:t>交付时间和地点：合同签订后</w:t>
      </w:r>
      <w:r>
        <w:rPr>
          <w:spacing w:val="14"/>
          <w:sz w:val="24"/>
          <w:u w:val="single"/>
        </w:rPr>
        <w:t xml:space="preserve">   </w:t>
      </w:r>
      <w:r>
        <w:rPr>
          <w:sz w:val="24"/>
        </w:rPr>
        <w:t>日内按甲方需求将货物运至甲方指定地点并安装</w:t>
      </w:r>
      <w:r>
        <w:rPr>
          <w:spacing w:val="-2"/>
          <w:sz w:val="24"/>
        </w:rPr>
        <w:t>交付使用。设备到货时间，乙方至少提前三天通知甲方</w:t>
      </w:r>
      <w:r>
        <w:rPr>
          <w:spacing w:val="-1"/>
          <w:sz w:val="24"/>
        </w:rPr>
        <w:t>，以便</w:t>
      </w:r>
      <w:r>
        <w:rPr>
          <w:sz w:val="24"/>
        </w:rPr>
        <w:t>甲方安排好相关收货工作。设备到达甲方时，乙方代表必须同时到达，由乙方负责将货物搬运至甲方指定的地点，甲乙双方办理交接手续。如未按上述执行，造成的一切后果由乙方承担。</w:t>
      </w:r>
    </w:p>
    <w:p>
      <w:pPr>
        <w:pStyle w:val="14"/>
        <w:numPr>
          <w:ilvl w:val="0"/>
          <w:numId w:val="34"/>
        </w:numPr>
        <w:tabs>
          <w:tab w:val="left" w:pos="951"/>
        </w:tabs>
        <w:wordWrap w:val="0"/>
        <w:spacing w:before="2" w:line="374" w:lineRule="auto"/>
        <w:ind w:left="227" w:right="402" w:firstLine="480"/>
        <w:jc w:val="both"/>
        <w:rPr>
          <w:rFonts w:ascii="MingLiU_HKSCS-ExtB" w:hAnsi="MingLiU_HKSCS-ExtB" w:eastAsia="MingLiU_HKSCS-ExtB"/>
          <w:sz w:val="24"/>
        </w:rPr>
      </w:pPr>
      <w:r>
        <w:rPr>
          <w:sz w:val="24"/>
        </w:rPr>
        <w:t>乙方交付的货物应当完全符合本合同或者招响应文件所规定的货物、数量和规格要求，乙方负责提供货物的装箱清单、操作说明书、维修手册、电路图本、电气说明书、包</w:t>
      </w:r>
      <w:r>
        <w:rPr>
          <w:spacing w:val="-5"/>
          <w:sz w:val="24"/>
        </w:rPr>
        <w:t>括外构件的详细资料等； 乙方不能完整交付货物及本款规定的单证和工具的，视为未按合</w:t>
      </w:r>
      <w:r>
        <w:rPr>
          <w:sz w:val="24"/>
        </w:rPr>
        <w:t>同约定交货，乙方负责补齐，因此导致逾期交付的，由乙方承担相关的违约责任。</w:t>
      </w:r>
      <w:r>
        <w:rPr>
          <w:rFonts w:ascii="MingLiU_HKSCS-ExtB" w:hAnsi="MingLiU_HKSCS-ExtB" w:eastAsia="MingLiU_HKSCS-ExtB"/>
          <w:sz w:val="24"/>
        </w:rPr>
        <w:t></w:t>
      </w:r>
    </w:p>
    <w:p>
      <w:pPr>
        <w:pStyle w:val="14"/>
        <w:numPr>
          <w:ilvl w:val="0"/>
          <w:numId w:val="34"/>
        </w:numPr>
        <w:tabs>
          <w:tab w:val="left" w:pos="951"/>
        </w:tabs>
        <w:wordWrap w:val="0"/>
        <w:spacing w:before="0" w:line="265" w:lineRule="exact"/>
        <w:ind w:left="950"/>
        <w:rPr>
          <w:sz w:val="24"/>
        </w:rPr>
      </w:pPr>
      <w:r>
        <w:rPr>
          <w:sz w:val="24"/>
        </w:rPr>
        <w:t>技术培训：在安装过程中或安装结束后，乙方工程师或有关人员有义务对甲方工程</w:t>
      </w:r>
    </w:p>
    <w:p>
      <w:pPr>
        <w:pStyle w:val="2"/>
        <w:wordWrap w:val="0"/>
        <w:spacing w:before="173" w:line="374" w:lineRule="auto"/>
        <w:ind w:left="227" w:right="404"/>
        <w:jc w:val="both"/>
      </w:pPr>
      <w:r>
        <w:t>师和操作人员进行现场维修、保养、操作培训并提供快捷操作指南（塑胶封好，挂在设备上）解答甲方人员提出的问题，必要时提供正规培训班培训，确保操作人员掌握日常工作所需的基本工作方法为止，工程师掌握基本的维护保养操作技术为止。</w:t>
      </w:r>
    </w:p>
    <w:p>
      <w:pPr>
        <w:pStyle w:val="14"/>
        <w:numPr>
          <w:ilvl w:val="0"/>
          <w:numId w:val="35"/>
        </w:numPr>
        <w:tabs>
          <w:tab w:val="left" w:pos="949"/>
        </w:tabs>
        <w:wordWrap w:val="0"/>
        <w:spacing w:before="1"/>
        <w:ind w:hanging="241"/>
        <w:rPr>
          <w:sz w:val="24"/>
        </w:rPr>
      </w:pPr>
      <w:r>
        <w:rPr>
          <w:sz w:val="24"/>
        </w:rPr>
        <w:t>.验收标准及期限：</w:t>
      </w:r>
    </w:p>
    <w:p>
      <w:pPr>
        <w:pStyle w:val="14"/>
        <w:numPr>
          <w:ilvl w:val="1"/>
          <w:numId w:val="35"/>
        </w:numPr>
        <w:tabs>
          <w:tab w:val="left" w:pos="1190"/>
        </w:tabs>
        <w:wordWrap w:val="0"/>
        <w:spacing w:before="172" w:line="374" w:lineRule="auto"/>
        <w:ind w:left="227" w:right="399" w:firstLine="480"/>
        <w:rPr>
          <w:sz w:val="24"/>
        </w:rPr>
      </w:pPr>
      <w:r>
        <w:rPr>
          <w:spacing w:val="-6"/>
          <w:sz w:val="24"/>
        </w:rPr>
        <w:t xml:space="preserve">货物到达甲方指定地点后安装调试完毕，经临床使用 </w:t>
      </w:r>
      <w:r>
        <w:rPr>
          <w:spacing w:val="-2"/>
          <w:sz w:val="24"/>
        </w:rPr>
        <w:t>30</w:t>
      </w:r>
      <w:r>
        <w:rPr>
          <w:spacing w:val="-10"/>
          <w:sz w:val="24"/>
        </w:rPr>
        <w:t xml:space="preserve"> 天后，甲方根据要求，按</w:t>
      </w:r>
      <w:r>
        <w:rPr>
          <w:sz w:val="24"/>
        </w:rPr>
        <w:t>照合同（包括合同组成文件）内容组织验收，验收合格后出具验收报告。</w:t>
      </w:r>
    </w:p>
    <w:p>
      <w:pPr>
        <w:pStyle w:val="14"/>
        <w:numPr>
          <w:ilvl w:val="1"/>
          <w:numId w:val="35"/>
        </w:numPr>
        <w:tabs>
          <w:tab w:val="left" w:pos="1190"/>
        </w:tabs>
        <w:wordWrap w:val="0"/>
        <w:spacing w:before="1"/>
        <w:ind w:left="1189" w:hanging="482"/>
        <w:rPr>
          <w:sz w:val="24"/>
        </w:rPr>
      </w:pPr>
      <w:r>
        <w:rPr>
          <w:sz w:val="24"/>
        </w:rPr>
        <w:t>货物到货验收包括：规格、数量、外观质量、及货物包装是否完好。</w:t>
      </w:r>
    </w:p>
    <w:p>
      <w:pPr>
        <w:pStyle w:val="14"/>
        <w:numPr>
          <w:ilvl w:val="1"/>
          <w:numId w:val="35"/>
        </w:numPr>
        <w:tabs>
          <w:tab w:val="left" w:pos="1191"/>
        </w:tabs>
        <w:wordWrap w:val="0"/>
        <w:spacing w:before="172" w:line="374" w:lineRule="auto"/>
        <w:ind w:left="227" w:right="406" w:firstLine="480"/>
        <w:rPr>
          <w:sz w:val="24"/>
        </w:rPr>
      </w:pPr>
      <w:r>
        <w:rPr>
          <w:sz w:val="24"/>
        </w:rPr>
        <w:t>货物和系统调试验收的标准：按行业同行标准、厂方出厂标准和合同（包括合同组成文件）约定。</w:t>
      </w:r>
    </w:p>
    <w:p>
      <w:pPr>
        <w:tabs>
          <w:tab w:val="left" w:pos="1553"/>
        </w:tabs>
        <w:wordWrap w:val="0"/>
        <w:spacing w:line="363" w:lineRule="exact"/>
        <w:ind w:left="588"/>
        <w:rPr>
          <w:rFonts w:ascii="Microsoft YaHei UI" w:eastAsia="Microsoft YaHei UI"/>
          <w:b/>
          <w:sz w:val="24"/>
        </w:rPr>
      </w:pPr>
      <w:r>
        <w:rPr>
          <w:rFonts w:hint="eastAsia" w:ascii="Microsoft YaHei UI" w:eastAsia="Microsoft YaHei UI"/>
          <w:b/>
          <w:sz w:val="24"/>
        </w:rPr>
        <w:t>第五条</w:t>
      </w:r>
      <w:r>
        <w:rPr>
          <w:rFonts w:hint="eastAsia" w:ascii="Microsoft YaHei UI" w:eastAsia="Microsoft YaHei UI"/>
          <w:b/>
          <w:sz w:val="24"/>
        </w:rPr>
        <w:tab/>
      </w:r>
      <w:r>
        <w:rPr>
          <w:rFonts w:hint="eastAsia" w:ascii="Microsoft YaHei UI" w:eastAsia="Microsoft YaHei UI"/>
          <w:b/>
          <w:sz w:val="24"/>
        </w:rPr>
        <w:t>售后服务</w:t>
      </w:r>
    </w:p>
    <w:p>
      <w:pPr>
        <w:pStyle w:val="14"/>
        <w:numPr>
          <w:ilvl w:val="0"/>
          <w:numId w:val="36"/>
        </w:numPr>
        <w:tabs>
          <w:tab w:val="left" w:pos="950"/>
        </w:tabs>
        <w:wordWrap w:val="0"/>
        <w:spacing w:before="118" w:line="374" w:lineRule="auto"/>
        <w:ind w:left="227" w:right="161" w:firstLine="480"/>
        <w:rPr>
          <w:sz w:val="24"/>
        </w:rPr>
      </w:pPr>
      <w:r>
        <w:rPr>
          <w:spacing w:val="-1"/>
          <w:sz w:val="24"/>
        </w:rPr>
        <w:t>验收通过之日起本合同提供的货物免费保修</w:t>
      </w:r>
      <w:r>
        <w:rPr>
          <w:rFonts w:hint="eastAsia" w:eastAsiaTheme="minorEastAsia"/>
          <w:sz w:val="24"/>
          <w:u w:val="single"/>
        </w:rPr>
        <w:t xml:space="preserve">     </w:t>
      </w:r>
      <w:r>
        <w:rPr>
          <w:spacing w:val="-16"/>
          <w:sz w:val="24"/>
        </w:rPr>
        <w:t xml:space="preserve">年。保证设备保修期内开机率高于 </w:t>
      </w:r>
      <w:r>
        <w:rPr>
          <w:sz w:val="24"/>
        </w:rPr>
        <w:t>95%，</w:t>
      </w:r>
      <w:r>
        <w:rPr>
          <w:spacing w:val="-117"/>
          <w:sz w:val="24"/>
        </w:rPr>
        <w:t xml:space="preserve"> </w:t>
      </w:r>
      <w:r>
        <w:rPr>
          <w:spacing w:val="-6"/>
          <w:sz w:val="24"/>
        </w:rPr>
        <w:t xml:space="preserve">如设备故障停机率超过 </w:t>
      </w:r>
      <w:r>
        <w:rPr>
          <w:sz w:val="24"/>
        </w:rPr>
        <w:t>5</w:t>
      </w:r>
      <w:r>
        <w:rPr>
          <w:spacing w:val="-3"/>
          <w:sz w:val="24"/>
        </w:rPr>
        <w:t>%</w:t>
      </w:r>
      <w:r>
        <w:rPr>
          <w:sz w:val="24"/>
        </w:rPr>
        <w:t>（</w:t>
      </w:r>
      <w:r>
        <w:rPr>
          <w:spacing w:val="-15"/>
          <w:sz w:val="24"/>
        </w:rPr>
        <w:t xml:space="preserve">一年按 </w:t>
      </w:r>
      <w:r>
        <w:rPr>
          <w:sz w:val="24"/>
        </w:rPr>
        <w:t>365</w:t>
      </w:r>
      <w:r>
        <w:rPr>
          <w:spacing w:val="-17"/>
          <w:sz w:val="24"/>
        </w:rPr>
        <w:t xml:space="preserve"> 天计算，每年 </w:t>
      </w:r>
      <w:r>
        <w:rPr>
          <w:sz w:val="24"/>
        </w:rPr>
        <w:t>18</w:t>
      </w:r>
      <w:r>
        <w:rPr>
          <w:spacing w:val="-30"/>
          <w:sz w:val="24"/>
        </w:rPr>
        <w:t xml:space="preserve"> 天</w:t>
      </w:r>
      <w:r>
        <w:rPr>
          <w:spacing w:val="-120"/>
          <w:sz w:val="24"/>
        </w:rPr>
        <w:t>）</w:t>
      </w:r>
      <w:r>
        <w:rPr>
          <w:spacing w:val="-3"/>
          <w:sz w:val="24"/>
        </w:rPr>
        <w:t>，每超过一天，保修期延长两</w:t>
      </w:r>
      <w:r>
        <w:rPr>
          <w:sz w:val="24"/>
        </w:rPr>
        <w:t xml:space="preserve"> 周。</w:t>
      </w:r>
    </w:p>
    <w:p>
      <w:pPr>
        <w:pStyle w:val="14"/>
        <w:numPr>
          <w:ilvl w:val="0"/>
          <w:numId w:val="36"/>
        </w:numPr>
        <w:tabs>
          <w:tab w:val="left" w:pos="950"/>
        </w:tabs>
        <w:wordWrap w:val="0"/>
        <w:spacing w:before="1" w:line="374" w:lineRule="auto"/>
        <w:ind w:left="227" w:right="401" w:firstLine="480"/>
        <w:jc w:val="both"/>
        <w:rPr>
          <w:sz w:val="24"/>
        </w:rPr>
      </w:pPr>
      <w:r>
        <w:rPr>
          <w:spacing w:val="-7"/>
          <w:sz w:val="24"/>
        </w:rPr>
        <w:t xml:space="preserve">免费保修期内，乙方应在接到故障通知 </w:t>
      </w:r>
      <w:r>
        <w:rPr>
          <w:spacing w:val="-2"/>
          <w:sz w:val="24"/>
        </w:rPr>
        <w:t>4</w:t>
      </w:r>
      <w:r>
        <w:rPr>
          <w:spacing w:val="-10"/>
          <w:sz w:val="24"/>
        </w:rPr>
        <w:t xml:space="preserve"> 小时内作出有效回应，并在</w:t>
      </w:r>
      <w:r>
        <w:rPr>
          <w:spacing w:val="123"/>
          <w:sz w:val="24"/>
          <w:u w:val="single"/>
        </w:rPr>
        <w:t xml:space="preserve"> </w:t>
      </w:r>
      <w:r>
        <w:rPr>
          <w:spacing w:val="-2"/>
          <w:sz w:val="24"/>
        </w:rPr>
        <w:t>小时内到达</w:t>
      </w:r>
      <w:r>
        <w:rPr>
          <w:sz w:val="24"/>
        </w:rPr>
        <w:t>现场免费予以排除故障、修复或更换零部件。如不能修复须提供备用机使用确保甲方能正常开展工作，设备在设计使用周期内，保证使用方更换到原厂配件。</w:t>
      </w:r>
    </w:p>
    <w:p>
      <w:pPr>
        <w:wordWrap w:val="0"/>
        <w:spacing w:line="374" w:lineRule="auto"/>
        <w:jc w:val="both"/>
        <w:rPr>
          <w:sz w:val="24"/>
        </w:rPr>
        <w:sectPr>
          <w:headerReference r:id="rId7" w:type="default"/>
          <w:footerReference r:id="rId8" w:type="default"/>
          <w:pgSz w:w="11910" w:h="16840"/>
          <w:pgMar w:top="1340" w:right="840" w:bottom="960" w:left="1020" w:header="877" w:footer="770" w:gutter="0"/>
          <w:cols w:space="720" w:num="1"/>
        </w:sectPr>
      </w:pPr>
    </w:p>
    <w:p>
      <w:pPr>
        <w:pStyle w:val="14"/>
        <w:numPr>
          <w:ilvl w:val="0"/>
          <w:numId w:val="36"/>
        </w:numPr>
        <w:tabs>
          <w:tab w:val="left" w:pos="951"/>
        </w:tabs>
        <w:wordWrap w:val="0"/>
        <w:spacing w:before="144" w:line="374" w:lineRule="auto"/>
        <w:ind w:left="227" w:right="404" w:firstLine="480"/>
        <w:jc w:val="both"/>
        <w:rPr>
          <w:sz w:val="24"/>
        </w:rPr>
      </w:pPr>
      <w:r>
        <w:rPr>
          <w:sz w:val="24"/>
        </w:rPr>
        <w:t>所有货物保修服务方式均为乙方上门保修，即由乙方派员到货物使用现场维修，由此产生的一切费用由乙方承担。乙方确保维修后设备符合《医疗器械质量监督管理办法》相关规定。</w:t>
      </w:r>
    </w:p>
    <w:p>
      <w:pPr>
        <w:pStyle w:val="14"/>
        <w:numPr>
          <w:ilvl w:val="0"/>
          <w:numId w:val="36"/>
        </w:numPr>
        <w:tabs>
          <w:tab w:val="left" w:pos="950"/>
        </w:tabs>
        <w:wordWrap w:val="0"/>
        <w:spacing w:before="1" w:line="324" w:lineRule="auto"/>
        <w:ind w:left="588" w:right="2135" w:firstLine="120"/>
        <w:jc w:val="both"/>
        <w:rPr>
          <w:rFonts w:ascii="Microsoft YaHei UI" w:eastAsia="Microsoft YaHei UI"/>
          <w:b/>
          <w:sz w:val="24"/>
        </w:rPr>
      </w:pPr>
      <w:r>
        <w:rPr>
          <w:spacing w:val="-1"/>
          <w:sz w:val="24"/>
        </w:rPr>
        <w:t>根据合同</w:t>
      </w:r>
      <w:r>
        <w:rPr>
          <w:sz w:val="24"/>
        </w:rPr>
        <w:t>（包括合同组成文件）约定提供安装调试以及相应服务。</w:t>
      </w:r>
      <w:r>
        <w:rPr>
          <w:rFonts w:hint="eastAsia" w:ascii="Microsoft YaHei UI" w:eastAsia="Microsoft YaHei UI"/>
          <w:b/>
          <w:spacing w:val="2"/>
          <w:sz w:val="24"/>
        </w:rPr>
        <w:t>第六条 付款方式</w:t>
      </w:r>
    </w:p>
    <w:p>
      <w:pPr>
        <w:pStyle w:val="2"/>
        <w:numPr>
          <w:ilvl w:val="0"/>
          <w:numId w:val="36"/>
        </w:numPr>
        <w:wordWrap w:val="0"/>
        <w:spacing w:line="245" w:lineRule="exact"/>
      </w:pPr>
      <w:r>
        <w:t>采购人所需货物到达指定现场并经试用性能达到采购文件要求，经甲方验收合格后，</w:t>
      </w:r>
    </w:p>
    <w:p>
      <w:pPr>
        <w:pStyle w:val="2"/>
        <w:numPr>
          <w:ilvl w:val="0"/>
          <w:numId w:val="36"/>
        </w:numPr>
        <w:wordWrap w:val="0"/>
        <w:spacing w:before="132" w:line="343" w:lineRule="auto"/>
        <w:ind w:right="330"/>
      </w:pP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t>同</w:t>
      </w:r>
      <w:r>
        <w:rPr>
          <w:rFonts w:hint="eastAsia" w:eastAsiaTheme="minorEastAsia"/>
        </w:rPr>
        <w:t>总</w:t>
      </w:r>
      <w:r>
        <w:t>价</w:t>
      </w:r>
      <w:r>
        <w:rPr>
          <w:rFonts w:hint="eastAsia" w:asciiTheme="minorEastAsia" w:hAnsiTheme="minorEastAsia" w:eastAsiaTheme="minorEastAsia"/>
        </w:rPr>
        <w:t>60%；设备正常使用3月后再付30%；设备正常运行12个月后，经甲方审核通过后付总款10%</w:t>
      </w:r>
      <w:r>
        <w:t>。</w:t>
      </w:r>
    </w:p>
    <w:p>
      <w:pPr>
        <w:pStyle w:val="2"/>
        <w:wordWrap w:val="0"/>
        <w:spacing w:before="2" w:line="367" w:lineRule="auto"/>
        <w:ind w:left="708" w:right="399"/>
      </w:pPr>
      <w:r>
        <w:t>成交人应根据采购人实付金额提供等额税务发票，税务发票为乙方公司名称开具。</w:t>
      </w:r>
      <w:r>
        <w:rPr>
          <w:spacing w:val="1"/>
        </w:rPr>
        <w:t xml:space="preserve"> </w:t>
      </w:r>
      <w:r>
        <w:rPr>
          <w:spacing w:val="-6"/>
        </w:rPr>
        <w:t>备注：宿迁市中医院统一社会信用代码号为</w:t>
      </w:r>
      <w:r>
        <w:t>（</w:t>
      </w:r>
      <w:r>
        <w:rPr>
          <w:color w:val="000000" w:themeColor="text1"/>
        </w:rPr>
        <w:t>123</w:t>
      </w:r>
      <w:r>
        <w:rPr>
          <w:rFonts w:hint="eastAsia" w:asciiTheme="minorEastAsia" w:hAnsiTheme="minorEastAsia" w:eastAsiaTheme="minorEastAsia"/>
          <w:color w:val="000000" w:themeColor="text1"/>
        </w:rPr>
        <w:t>21321469734861W</w:t>
      </w:r>
      <w:r>
        <w:rPr>
          <w:spacing w:val="-120"/>
        </w:rPr>
        <w:t>）</w:t>
      </w:r>
      <w:r>
        <w:rPr>
          <w:spacing w:val="-8"/>
        </w:rPr>
        <w:t>，发票上要</w:t>
      </w:r>
    </w:p>
    <w:p>
      <w:pPr>
        <w:tabs>
          <w:tab w:val="left" w:pos="1553"/>
        </w:tabs>
        <w:wordWrap w:val="0"/>
        <w:spacing w:before="9" w:line="324" w:lineRule="auto"/>
        <w:ind w:left="588" w:right="5495" w:hanging="361"/>
        <w:rPr>
          <w:rFonts w:ascii="Microsoft YaHei UI" w:eastAsia="Microsoft YaHei UI"/>
          <w:b/>
          <w:sz w:val="24"/>
        </w:rPr>
      </w:pPr>
      <w:r>
        <w:rPr>
          <w:sz w:val="24"/>
        </w:rPr>
        <w:t>载明。税务发票须为乙方公司名称开具。</w:t>
      </w:r>
      <w:r>
        <w:rPr>
          <w:rFonts w:hint="eastAsia" w:ascii="Microsoft YaHei UI" w:eastAsia="Microsoft YaHei UI"/>
          <w:b/>
          <w:sz w:val="24"/>
        </w:rPr>
        <w:t>第七条</w:t>
      </w:r>
      <w:r>
        <w:rPr>
          <w:rFonts w:hint="eastAsia" w:ascii="Microsoft YaHei UI" w:eastAsia="Microsoft YaHei UI"/>
          <w:b/>
          <w:sz w:val="24"/>
        </w:rPr>
        <w:tab/>
      </w:r>
      <w:r>
        <w:rPr>
          <w:rFonts w:hint="eastAsia" w:ascii="Microsoft YaHei UI" w:eastAsia="Microsoft YaHei UI"/>
          <w:b/>
          <w:sz w:val="24"/>
        </w:rPr>
        <w:t>履约保证金</w:t>
      </w:r>
    </w:p>
    <w:p>
      <w:pPr>
        <w:pStyle w:val="14"/>
        <w:numPr>
          <w:ilvl w:val="0"/>
          <w:numId w:val="37"/>
        </w:numPr>
        <w:tabs>
          <w:tab w:val="left" w:pos="950"/>
          <w:tab w:val="left" w:pos="5268"/>
        </w:tabs>
        <w:wordWrap w:val="0"/>
        <w:spacing w:before="0" w:line="276" w:lineRule="exact"/>
        <w:ind w:hanging="242"/>
        <w:rPr>
          <w:sz w:val="24"/>
        </w:rPr>
      </w:pPr>
      <w:r>
        <w:rPr>
          <w:sz w:val="24"/>
        </w:rPr>
        <w:t>合同签订前，乙方需交付</w:t>
      </w:r>
      <w:r>
        <w:rPr>
          <w:rFonts w:ascii="Times New Roman" w:eastAsia="Times New Roman"/>
          <w:sz w:val="24"/>
          <w:u w:val="single"/>
        </w:rPr>
        <w:tab/>
      </w:r>
      <w:r>
        <w:rPr>
          <w:sz w:val="24"/>
        </w:rPr>
        <w:t>元为履约保证金。</w:t>
      </w:r>
    </w:p>
    <w:p>
      <w:pPr>
        <w:pStyle w:val="14"/>
        <w:numPr>
          <w:ilvl w:val="0"/>
          <w:numId w:val="37"/>
        </w:numPr>
        <w:tabs>
          <w:tab w:val="left" w:pos="951"/>
        </w:tabs>
        <w:wordWrap w:val="0"/>
        <w:spacing w:before="173" w:line="374" w:lineRule="auto"/>
        <w:ind w:left="227" w:right="402" w:firstLine="480"/>
        <w:jc w:val="both"/>
        <w:rPr>
          <w:sz w:val="24"/>
        </w:rPr>
      </w:pPr>
      <w:r>
        <w:rPr>
          <w:sz w:val="24"/>
        </w:rPr>
        <w:t>以网上银行、电子汇兑形式由乙方账户缴纳至甲方指定账户（户名：宿迁市中医院</w:t>
      </w:r>
      <w:r>
        <w:rPr>
          <w:spacing w:val="-2"/>
          <w:sz w:val="24"/>
        </w:rPr>
        <w:t>，开户行：</w:t>
      </w:r>
      <w:r>
        <w:rPr>
          <w:rFonts w:hint="eastAsia" w:eastAsiaTheme="minorEastAsia"/>
          <w:spacing w:val="-2"/>
          <w:sz w:val="24"/>
        </w:rPr>
        <w:t>工商银行宿迁市宿豫支行</w:t>
      </w:r>
      <w:r>
        <w:rPr>
          <w:spacing w:val="-2"/>
          <w:sz w:val="24"/>
        </w:rPr>
        <w:t>，账号：</w:t>
      </w:r>
      <w:r>
        <w:rPr>
          <w:spacing w:val="-1"/>
          <w:sz w:val="24"/>
        </w:rPr>
        <w:t>1</w:t>
      </w:r>
      <w:r>
        <w:rPr>
          <w:rFonts w:hint="eastAsia" w:eastAsiaTheme="minorEastAsia"/>
          <w:spacing w:val="-1"/>
          <w:sz w:val="24"/>
        </w:rPr>
        <w:t>116030419000116110</w:t>
      </w:r>
      <w:r>
        <w:rPr>
          <w:spacing w:val="-1"/>
          <w:sz w:val="24"/>
        </w:rPr>
        <w:t>）或采用银行保函、保证</w:t>
      </w:r>
      <w:r>
        <w:rPr>
          <w:sz w:val="24"/>
        </w:rPr>
        <w:t>担保、保证保险（受益人为甲方）形式，并将保函、担保、保险递交至采购人。</w:t>
      </w:r>
    </w:p>
    <w:p>
      <w:pPr>
        <w:pStyle w:val="14"/>
        <w:numPr>
          <w:ilvl w:val="0"/>
          <w:numId w:val="37"/>
        </w:numPr>
        <w:tabs>
          <w:tab w:val="left" w:pos="951"/>
        </w:tabs>
        <w:wordWrap w:val="0"/>
        <w:spacing w:before="1" w:line="374" w:lineRule="auto"/>
        <w:ind w:left="227" w:right="401" w:firstLine="480"/>
        <w:jc w:val="right"/>
        <w:rPr>
          <w:sz w:val="24"/>
        </w:rPr>
      </w:pPr>
      <w:r>
        <w:rPr>
          <w:sz w:val="24"/>
        </w:rPr>
        <w:t>免费质保期满后，乙方凭履约保证金收据及甲方出具的验收报告到甲方设备处办理</w:t>
      </w:r>
      <w:r>
        <w:rPr>
          <w:spacing w:val="-14"/>
          <w:sz w:val="24"/>
        </w:rPr>
        <w:t>退还手续，保证金将无息退还至乙方账户，银行保函、担保、保险在项目完成后自行失效。</w:t>
      </w:r>
      <w:r>
        <w:rPr>
          <w:sz w:val="24"/>
        </w:rPr>
        <w:t>4.</w:t>
      </w:r>
      <w:r>
        <w:rPr>
          <w:spacing w:val="-5"/>
          <w:sz w:val="24"/>
        </w:rPr>
        <w:t xml:space="preserve">履约保证金在合同约定期间内不予退还或者应完全有效，约定期间届满之日起 </w:t>
      </w:r>
      <w:r>
        <w:rPr>
          <w:sz w:val="24"/>
        </w:rPr>
        <w:t>15</w:t>
      </w:r>
      <w:r>
        <w:rPr>
          <w:spacing w:val="-30"/>
          <w:sz w:val="24"/>
        </w:rPr>
        <w:t xml:space="preserve"> 个</w:t>
      </w:r>
    </w:p>
    <w:p>
      <w:pPr>
        <w:pStyle w:val="2"/>
        <w:wordWrap w:val="0"/>
        <w:spacing w:before="1" w:line="374" w:lineRule="auto"/>
        <w:ind w:left="227" w:right="401"/>
      </w:pPr>
      <w:r>
        <w:t>工作日内，甲方应将履约保证金退还乙方；逾期退还的，按中国人民银行有关规定支付超期资金占用费，但因乙方自身原因导致无法及时退还的除外。</w:t>
      </w:r>
    </w:p>
    <w:p>
      <w:pPr>
        <w:pStyle w:val="2"/>
        <w:wordWrap w:val="0"/>
        <w:spacing w:line="374" w:lineRule="auto"/>
        <w:ind w:left="227" w:right="404" w:firstLine="480"/>
        <w:jc w:val="both"/>
      </w:pPr>
      <w:r>
        <w:t>5.不予退还的情形：如果乙方不履行合同，履约保证金不予退还；如果乙方未能按合同约定全面履行义务，甲方有权从履约保证金中取得补偿或赔偿，同时不影响甲方要求乙方承担合同约定的超过履约保证金的违约责任的权利。</w:t>
      </w:r>
    </w:p>
    <w:p>
      <w:pPr>
        <w:tabs>
          <w:tab w:val="left" w:pos="1673"/>
        </w:tabs>
        <w:wordWrap w:val="0"/>
        <w:spacing w:line="364" w:lineRule="exact"/>
        <w:ind w:left="588"/>
        <w:rPr>
          <w:rFonts w:ascii="Microsoft YaHei UI" w:eastAsia="Microsoft YaHei UI"/>
          <w:b/>
          <w:sz w:val="24"/>
        </w:rPr>
      </w:pPr>
      <w:r>
        <w:rPr>
          <w:rFonts w:hint="eastAsia" w:ascii="Microsoft YaHei UI" w:eastAsia="Microsoft YaHei UI"/>
          <w:b/>
          <w:sz w:val="24"/>
        </w:rPr>
        <w:t>第八条</w:t>
      </w:r>
      <w:r>
        <w:rPr>
          <w:rFonts w:hint="eastAsia" w:ascii="Microsoft YaHei UI" w:eastAsia="Microsoft YaHei UI"/>
          <w:b/>
          <w:sz w:val="24"/>
        </w:rPr>
        <w:tab/>
      </w:r>
      <w:r>
        <w:rPr>
          <w:rFonts w:hint="eastAsia" w:ascii="Microsoft YaHei UI" w:eastAsia="Microsoft YaHei UI"/>
          <w:b/>
          <w:sz w:val="24"/>
        </w:rPr>
        <w:t>违约条款</w:t>
      </w:r>
    </w:p>
    <w:p>
      <w:pPr>
        <w:pStyle w:val="14"/>
        <w:numPr>
          <w:ilvl w:val="0"/>
          <w:numId w:val="38"/>
        </w:numPr>
        <w:tabs>
          <w:tab w:val="left" w:pos="1070"/>
        </w:tabs>
        <w:wordWrap w:val="0"/>
        <w:spacing w:before="118" w:line="374" w:lineRule="auto"/>
        <w:ind w:left="227" w:right="401" w:firstLine="480"/>
        <w:jc w:val="both"/>
        <w:rPr>
          <w:sz w:val="24"/>
        </w:rPr>
      </w:pPr>
      <w:r>
        <w:rPr>
          <w:spacing w:val="-14"/>
          <w:sz w:val="24"/>
        </w:rPr>
        <w:t>非甲方原因或不可抗力，乙方不能按期交付合同约定的货物，应向甲方支付违约金</w:t>
      </w:r>
      <w:r>
        <w:rPr>
          <w:spacing w:val="2"/>
          <w:sz w:val="24"/>
        </w:rPr>
        <w:t xml:space="preserve">，每延迟交付一天，按合同总价款的 </w:t>
      </w:r>
      <w:r>
        <w:rPr>
          <w:sz w:val="24"/>
        </w:rPr>
        <w:t>2‰支付违约金，违约金可直接从待付货款或履约保</w:t>
      </w:r>
      <w:r>
        <w:rPr>
          <w:spacing w:val="-9"/>
          <w:sz w:val="24"/>
        </w:rPr>
        <w:t xml:space="preserve">证金中扣除。延期超过 </w:t>
      </w:r>
      <w:r>
        <w:rPr>
          <w:spacing w:val="-2"/>
          <w:sz w:val="24"/>
        </w:rPr>
        <w:t>10</w:t>
      </w:r>
      <w:r>
        <w:rPr>
          <w:spacing w:val="-10"/>
          <w:sz w:val="24"/>
        </w:rPr>
        <w:t xml:space="preserve"> 日，甲方有权强制解除合同，并不予退还履约保证金。如乙方逾</w:t>
      </w:r>
      <w:r>
        <w:rPr>
          <w:sz w:val="24"/>
        </w:rPr>
        <w:t>期交货给甲方造成损失的，包括但不限于工期延误的违约赔偿金等，由乙方承担赔偿责任。</w:t>
      </w:r>
    </w:p>
    <w:p>
      <w:pPr>
        <w:wordWrap w:val="0"/>
        <w:spacing w:line="374" w:lineRule="auto"/>
        <w:jc w:val="both"/>
        <w:rPr>
          <w:sz w:val="24"/>
        </w:rPr>
        <w:sectPr>
          <w:pgSz w:w="11910" w:h="16840"/>
          <w:pgMar w:top="1340" w:right="840" w:bottom="960" w:left="1020" w:header="877" w:footer="770" w:gutter="0"/>
          <w:cols w:space="720" w:num="1"/>
        </w:sectPr>
      </w:pPr>
    </w:p>
    <w:p>
      <w:pPr>
        <w:pStyle w:val="14"/>
        <w:numPr>
          <w:ilvl w:val="0"/>
          <w:numId w:val="38"/>
        </w:numPr>
        <w:tabs>
          <w:tab w:val="left" w:pos="1070"/>
        </w:tabs>
        <w:wordWrap w:val="0"/>
        <w:spacing w:before="144" w:line="374" w:lineRule="auto"/>
        <w:ind w:left="227" w:right="405" w:firstLine="480"/>
        <w:rPr>
          <w:sz w:val="24"/>
        </w:rPr>
      </w:pPr>
      <w:r>
        <w:rPr>
          <w:spacing w:val="-2"/>
          <w:sz w:val="24"/>
        </w:rPr>
        <w:t>乙方交付的货物品牌、型号、规格、数量等不符合合同规定的，甲方有权拒收。甲</w:t>
      </w:r>
      <w:r>
        <w:rPr>
          <w:sz w:val="24"/>
        </w:rPr>
        <w:t>方拒收的，视为乙方未完成交货义务，由此造成延迟交付的，按前款执行。</w:t>
      </w:r>
    </w:p>
    <w:p>
      <w:pPr>
        <w:pStyle w:val="14"/>
        <w:numPr>
          <w:ilvl w:val="0"/>
          <w:numId w:val="38"/>
        </w:numPr>
        <w:tabs>
          <w:tab w:val="left" w:pos="1074"/>
        </w:tabs>
        <w:wordWrap w:val="0"/>
        <w:spacing w:before="1" w:line="374" w:lineRule="auto"/>
        <w:ind w:left="227" w:right="403"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，如经乙方两次</w:t>
      </w:r>
      <w:r>
        <w:rPr>
          <w:spacing w:val="-13"/>
          <w:sz w:val="24"/>
        </w:rPr>
        <w:t>维修或更换，货物仍不能达到合同约定的质量标准，甲方有权退货，乙方应退回全部货款，</w:t>
      </w:r>
      <w:r>
        <w:rPr>
          <w:spacing w:val="-118"/>
          <w:sz w:val="24"/>
        </w:rPr>
        <w:t xml:space="preserve"> </w:t>
      </w:r>
      <w:r>
        <w:rPr>
          <w:sz w:val="24"/>
        </w:rPr>
        <w:t>并等额赔偿由此造成的一切损失，甲方不予退还履约保证金。</w:t>
      </w:r>
    </w:p>
    <w:p>
      <w:pPr>
        <w:pStyle w:val="14"/>
        <w:numPr>
          <w:ilvl w:val="0"/>
          <w:numId w:val="38"/>
        </w:numPr>
        <w:tabs>
          <w:tab w:val="left" w:pos="1071"/>
        </w:tabs>
        <w:wordWrap w:val="0"/>
        <w:spacing w:before="1" w:line="374" w:lineRule="auto"/>
        <w:ind w:left="227" w:right="404"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，如乙方售后服务不能按承诺时效响应，因此导致甲方产生额外维修费用的，由乙方承担，甲方可以从剩余货款或履约保证金中扣除。</w:t>
      </w:r>
    </w:p>
    <w:p>
      <w:pPr>
        <w:pStyle w:val="2"/>
        <w:wordWrap w:val="0"/>
        <w:spacing w:before="1" w:line="374" w:lineRule="auto"/>
        <w:ind w:left="227" w:right="400" w:firstLine="480"/>
        <w:jc w:val="both"/>
      </w:pPr>
      <w:r>
        <w:rPr>
          <w:spacing w:val="-2"/>
        </w:rPr>
        <w:t>5、乙方在承担上述一项或多项违约责任后，仍应继续履行合同规定的义务</w:t>
      </w:r>
      <w:r>
        <w:rPr>
          <w:spacing w:val="-1"/>
        </w:rPr>
        <w:t>（甲方解除</w:t>
      </w:r>
      <w:r>
        <w:t>合同除外</w:t>
      </w:r>
      <w:r>
        <w:rPr>
          <w:spacing w:val="-120"/>
        </w:rPr>
        <w:t>）</w:t>
      </w:r>
      <w:r>
        <w:rPr>
          <w:spacing w:val="-9"/>
        </w:rPr>
        <w:t>。甲方未能及时追究乙方的任何一项违约责任并不表明甲方放弃追究乙方该项或</w:t>
      </w:r>
      <w:r>
        <w:t>其他违约责任。</w:t>
      </w:r>
    </w:p>
    <w:p>
      <w:pPr>
        <w:pStyle w:val="2"/>
        <w:wordWrap w:val="0"/>
        <w:spacing w:before="1" w:line="374" w:lineRule="auto"/>
        <w:ind w:left="227" w:right="403" w:firstLine="480"/>
      </w:pPr>
      <w:r>
        <w:rPr>
          <w:spacing w:val="-2"/>
        </w:rPr>
        <w:t>6、非因乙方原因，甲方未按约定期限付款的，除向乙方支付货款外，须按中国人民银</w:t>
      </w:r>
      <w:r>
        <w:t>行有关规定向乙方支付滞纳金。</w:t>
      </w:r>
    </w:p>
    <w:p>
      <w:pPr>
        <w:tabs>
          <w:tab w:val="left" w:pos="1673"/>
        </w:tabs>
        <w:wordWrap w:val="0"/>
        <w:spacing w:line="363" w:lineRule="exact"/>
        <w:ind w:left="588"/>
        <w:rPr>
          <w:rFonts w:ascii="Microsoft YaHei UI" w:eastAsia="Microsoft YaHei UI"/>
          <w:b/>
          <w:sz w:val="24"/>
        </w:rPr>
      </w:pPr>
      <w:r>
        <w:rPr>
          <w:rFonts w:hint="eastAsia" w:ascii="Microsoft YaHei UI" w:eastAsia="Microsoft YaHei UI"/>
          <w:b/>
          <w:sz w:val="24"/>
        </w:rPr>
        <w:t>第九条</w:t>
      </w:r>
      <w:r>
        <w:rPr>
          <w:rFonts w:hint="eastAsia" w:ascii="Microsoft YaHei UI" w:eastAsia="Microsoft YaHei UI"/>
          <w:b/>
          <w:sz w:val="24"/>
        </w:rPr>
        <w:tab/>
      </w:r>
      <w:r>
        <w:rPr>
          <w:rFonts w:hint="eastAsia" w:ascii="Microsoft YaHei UI" w:eastAsia="Microsoft YaHei UI"/>
          <w:b/>
          <w:sz w:val="24"/>
        </w:rPr>
        <w:t>知识产权</w:t>
      </w:r>
    </w:p>
    <w:p>
      <w:pPr>
        <w:pStyle w:val="2"/>
        <w:wordWrap w:val="0"/>
        <w:spacing w:before="118" w:line="374" w:lineRule="auto"/>
        <w:ind w:left="227" w:right="396" w:firstLine="600"/>
        <w:jc w:val="both"/>
      </w:pPr>
      <w:r>
        <w:t>乙方应保证甲方免除并承担由于甲方在其本国使用该项目时而引起第三方提出的侵犯专利权、知识产权或设计权的起诉、行动、行政程序索赔、请求等以及甲方为此而产生的损失和损害、费用和支出（包括但不限于诉讼费、保全费、律师费等</w:t>
      </w:r>
      <w:r>
        <w:rPr>
          <w:spacing w:val="-120"/>
        </w:rPr>
        <w:t>）</w:t>
      </w:r>
      <w:r>
        <w:t>。</w:t>
      </w:r>
    </w:p>
    <w:p>
      <w:pPr>
        <w:tabs>
          <w:tab w:val="left" w:pos="1673"/>
        </w:tabs>
        <w:wordWrap w:val="0"/>
        <w:spacing w:line="363" w:lineRule="exact"/>
        <w:ind w:left="588"/>
        <w:rPr>
          <w:rFonts w:ascii="Microsoft YaHei UI" w:eastAsia="Microsoft YaHei UI"/>
          <w:b/>
          <w:sz w:val="24"/>
        </w:rPr>
      </w:pPr>
      <w:r>
        <w:rPr>
          <w:rFonts w:hint="eastAsia" w:ascii="Microsoft YaHei UI" w:eastAsia="Microsoft YaHei UI"/>
          <w:b/>
          <w:sz w:val="24"/>
        </w:rPr>
        <w:t>第十条</w:t>
      </w:r>
      <w:r>
        <w:rPr>
          <w:rFonts w:hint="eastAsia" w:ascii="Microsoft YaHei UI" w:eastAsia="Microsoft YaHei UI"/>
          <w:b/>
          <w:sz w:val="24"/>
        </w:rPr>
        <w:tab/>
      </w:r>
      <w:r>
        <w:rPr>
          <w:rFonts w:hint="eastAsia" w:ascii="Microsoft YaHei UI" w:eastAsia="Microsoft YaHei UI"/>
          <w:b/>
          <w:sz w:val="24"/>
        </w:rPr>
        <w:t>合同生效</w:t>
      </w:r>
    </w:p>
    <w:p>
      <w:pPr>
        <w:pStyle w:val="2"/>
        <w:wordWrap w:val="0"/>
        <w:spacing w:before="118" w:line="374" w:lineRule="auto"/>
        <w:ind w:left="227" w:right="286" w:firstLine="600"/>
      </w:pPr>
      <w:r>
        <w:t>本合同经甲方、乙方签字盖章后生效。本合同一式五份，以中文书写，甲方执四份、乙方执一份。</w:t>
      </w:r>
    </w:p>
    <w:p>
      <w:pPr>
        <w:tabs>
          <w:tab w:val="left" w:pos="1793"/>
        </w:tabs>
        <w:wordWrap w:val="0"/>
        <w:spacing w:line="363" w:lineRule="exact"/>
        <w:ind w:left="588"/>
        <w:rPr>
          <w:rFonts w:ascii="Microsoft YaHei UI" w:eastAsia="Microsoft YaHei UI"/>
          <w:b/>
          <w:sz w:val="24"/>
        </w:rPr>
      </w:pPr>
      <w:r>
        <w:rPr>
          <w:rFonts w:hint="eastAsia" w:ascii="Microsoft YaHei UI" w:eastAsia="Microsoft YaHei UI"/>
          <w:b/>
          <w:sz w:val="24"/>
        </w:rPr>
        <w:t>第十一条</w:t>
      </w:r>
      <w:r>
        <w:rPr>
          <w:rFonts w:hint="eastAsia" w:ascii="Microsoft YaHei UI" w:eastAsia="Microsoft YaHei UI"/>
          <w:b/>
          <w:sz w:val="24"/>
        </w:rPr>
        <w:tab/>
      </w:r>
      <w:r>
        <w:rPr>
          <w:rFonts w:hint="eastAsia" w:ascii="Microsoft YaHei UI" w:eastAsia="Microsoft YaHei UI"/>
          <w:b/>
          <w:sz w:val="24"/>
        </w:rPr>
        <w:t>其他约定</w:t>
      </w:r>
    </w:p>
    <w:p>
      <w:pPr>
        <w:pStyle w:val="14"/>
        <w:numPr>
          <w:ilvl w:val="0"/>
          <w:numId w:val="39"/>
        </w:numPr>
        <w:tabs>
          <w:tab w:val="left" w:pos="1070"/>
        </w:tabs>
        <w:wordWrap w:val="0"/>
        <w:spacing w:before="118"/>
        <w:ind w:hanging="362"/>
        <w:rPr>
          <w:sz w:val="24"/>
        </w:rPr>
      </w:pPr>
      <w:r>
        <w:rPr>
          <w:sz w:val="24"/>
        </w:rPr>
        <w:t>本合同在中国宿迁市区签署。</w:t>
      </w:r>
    </w:p>
    <w:p>
      <w:pPr>
        <w:pStyle w:val="14"/>
        <w:numPr>
          <w:ilvl w:val="0"/>
          <w:numId w:val="39"/>
        </w:numPr>
        <w:tabs>
          <w:tab w:val="left" w:pos="1070"/>
        </w:tabs>
        <w:wordWrap w:val="0"/>
        <w:spacing w:before="173"/>
        <w:ind w:hanging="362"/>
        <w:rPr>
          <w:sz w:val="24"/>
        </w:rPr>
      </w:pPr>
      <w:r>
        <w:rPr>
          <w:sz w:val="24"/>
        </w:rPr>
        <w:t>如无特殊说明，本合同中货币币种均为人民币。</w:t>
      </w:r>
    </w:p>
    <w:p>
      <w:pPr>
        <w:pStyle w:val="14"/>
        <w:numPr>
          <w:ilvl w:val="0"/>
          <w:numId w:val="39"/>
        </w:numPr>
        <w:tabs>
          <w:tab w:val="left" w:pos="1070"/>
        </w:tabs>
        <w:wordWrap w:val="0"/>
        <w:spacing w:before="172" w:line="374" w:lineRule="auto"/>
        <w:ind w:left="227" w:right="403" w:firstLine="480"/>
        <w:rPr>
          <w:sz w:val="24"/>
        </w:rPr>
      </w:pPr>
      <w:r>
        <w:rPr>
          <w:spacing w:val="-2"/>
          <w:sz w:val="24"/>
        </w:rPr>
        <w:t>本合同一切未尽事宜，按合同法有关规定执行，无相关规定的，由甲乙双方协商解</w:t>
      </w:r>
      <w:r>
        <w:rPr>
          <w:sz w:val="24"/>
        </w:rPr>
        <w:t>决，协商不成可起诉至甲方所在地人民法院。</w:t>
      </w:r>
    </w:p>
    <w:p>
      <w:pPr>
        <w:pStyle w:val="2"/>
        <w:wordWrap w:val="0"/>
      </w:pPr>
    </w:p>
    <w:p>
      <w:pPr>
        <w:pStyle w:val="2"/>
        <w:tabs>
          <w:tab w:val="left" w:pos="5388"/>
        </w:tabs>
        <w:wordWrap w:val="0"/>
        <w:spacing w:before="173"/>
        <w:ind w:left="227"/>
      </w:pPr>
      <w:r>
        <w:t>甲方（盖章</w:t>
      </w:r>
      <w:r>
        <w:rPr>
          <w:spacing w:val="-120"/>
        </w:rPr>
        <w:t>）</w:t>
      </w:r>
      <w:r>
        <w:t>：宿迁市中医院</w:t>
      </w:r>
      <w:r>
        <w:tab/>
      </w:r>
      <w:r>
        <w:t>乙方</w:t>
      </w:r>
      <w:r>
        <w:rPr>
          <w:spacing w:val="-120"/>
        </w:rPr>
        <w:t>：</w:t>
      </w:r>
      <w:r>
        <w:t>（盖章）</w:t>
      </w:r>
    </w:p>
    <w:p>
      <w:pPr>
        <w:pStyle w:val="2"/>
        <w:tabs>
          <w:tab w:val="left" w:pos="5388"/>
        </w:tabs>
        <w:wordWrap w:val="0"/>
        <w:spacing w:before="173" w:line="374" w:lineRule="auto"/>
        <w:ind w:left="227" w:right="2255"/>
      </w:pPr>
      <w:r>
        <w:t>法定（授权）代表人：</w:t>
      </w:r>
      <w:r>
        <w:tab/>
      </w:r>
      <w:r>
        <w:rPr>
          <w:spacing w:val="-1"/>
        </w:rPr>
        <w:t>法</w:t>
      </w:r>
      <w:r>
        <w:t>定（授权）代表人：</w:t>
      </w:r>
      <w:r>
        <w:rPr>
          <w:spacing w:val="-117"/>
        </w:rPr>
        <w:t xml:space="preserve"> </w:t>
      </w:r>
      <w:r>
        <w:t>部门负责人：</w:t>
      </w:r>
    </w:p>
    <w:p>
      <w:pPr>
        <w:wordWrap w:val="0"/>
        <w:spacing w:line="374" w:lineRule="auto"/>
        <w:sectPr>
          <w:pgSz w:w="11910" w:h="16840"/>
          <w:pgMar w:top="1340" w:right="840" w:bottom="960" w:left="1020" w:header="877" w:footer="770" w:gutter="0"/>
          <w:cols w:space="720" w:num="1"/>
        </w:sectPr>
      </w:pPr>
    </w:p>
    <w:p>
      <w:pPr>
        <w:pStyle w:val="2"/>
        <w:tabs>
          <w:tab w:val="left" w:pos="5388"/>
        </w:tabs>
        <w:wordWrap w:val="0"/>
        <w:spacing w:before="144"/>
        <w:ind w:left="227"/>
      </w:pPr>
      <w:r>
        <w:t>经办人：</w:t>
      </w:r>
      <w:r>
        <w:tab/>
      </w:r>
      <w:r>
        <w:t>联系人：</w:t>
      </w:r>
    </w:p>
    <w:p>
      <w:pPr>
        <w:pStyle w:val="2"/>
        <w:tabs>
          <w:tab w:val="left" w:pos="5388"/>
        </w:tabs>
        <w:wordWrap w:val="0"/>
        <w:spacing w:before="173"/>
        <w:ind w:left="227"/>
      </w:pPr>
      <w:r>
        <w:t>联系电话：</w:t>
      </w:r>
      <w:r>
        <w:tab/>
      </w:r>
      <w:r>
        <w:t>联系电话：</w:t>
      </w:r>
    </w:p>
    <w:p>
      <w:pPr>
        <w:pStyle w:val="2"/>
        <w:tabs>
          <w:tab w:val="left" w:pos="5388"/>
        </w:tabs>
        <w:wordWrap w:val="0"/>
        <w:spacing w:before="172"/>
        <w:ind w:left="227"/>
      </w:pPr>
      <w:r>
        <w:t>开户行:</w:t>
      </w:r>
      <w:r>
        <w:tab/>
      </w:r>
      <w:r>
        <w:t>开户行:</w:t>
      </w:r>
    </w:p>
    <w:p>
      <w:pPr>
        <w:pStyle w:val="2"/>
        <w:tabs>
          <w:tab w:val="left" w:pos="5388"/>
        </w:tabs>
        <w:wordWrap w:val="0"/>
        <w:spacing w:before="173"/>
        <w:ind w:left="227"/>
      </w:pPr>
      <w:r>
        <w:t>账号：</w:t>
      </w:r>
      <w:r>
        <w:tab/>
      </w:r>
      <w:r>
        <w:t>账号：</w:t>
      </w:r>
    </w:p>
    <w:p>
      <w:pPr>
        <w:pStyle w:val="2"/>
        <w:tabs>
          <w:tab w:val="left" w:pos="5388"/>
        </w:tabs>
        <w:wordWrap w:val="0"/>
        <w:spacing w:before="172"/>
        <w:ind w:left="227"/>
      </w:pPr>
      <w:r>
        <w:t>单位地址：</w:t>
      </w:r>
      <w:r>
        <w:tab/>
      </w:r>
      <w:r>
        <w:t>单位地址：</w:t>
      </w:r>
    </w:p>
    <w:p>
      <w:pPr>
        <w:pStyle w:val="2"/>
        <w:tabs>
          <w:tab w:val="left" w:pos="1908"/>
          <w:tab w:val="left" w:pos="2628"/>
          <w:tab w:val="left" w:pos="5388"/>
          <w:tab w:val="left" w:pos="7069"/>
          <w:tab w:val="left" w:pos="7789"/>
        </w:tabs>
        <w:wordWrap w:val="0"/>
        <w:spacing w:before="173"/>
        <w:ind w:left="227"/>
      </w:pPr>
      <w:r>
        <w:t>日期：</w:t>
      </w:r>
      <w:r>
        <w:rPr>
          <w:spacing w:val="120"/>
        </w:rPr>
        <w:t xml:space="preserve"> </w:t>
      </w:r>
      <w:r>
        <w:t>年</w:t>
      </w:r>
      <w:r>
        <w:tab/>
      </w:r>
      <w:r>
        <w:t>月</w:t>
      </w:r>
      <w:r>
        <w:tab/>
      </w:r>
      <w:r>
        <w:t>日</w:t>
      </w:r>
      <w:r>
        <w:tab/>
      </w:r>
      <w:r>
        <w:t>日期：</w:t>
      </w:r>
      <w:r>
        <w:rPr>
          <w:spacing w:val="120"/>
        </w:rPr>
        <w:t xml:space="preserve"> </w:t>
      </w:r>
      <w:r>
        <w:t>年</w:t>
      </w:r>
      <w:r>
        <w:tab/>
      </w:r>
      <w:r>
        <w:t>月</w:t>
      </w:r>
      <w:r>
        <w:tab/>
      </w:r>
      <w:r>
        <w:t>日</w:t>
      </w:r>
    </w:p>
    <w:p>
      <w:pPr>
        <w:wordWrap w:val="0"/>
        <w:sectPr>
          <w:pgSz w:w="11910" w:h="16840"/>
          <w:pgMar w:top="1340" w:right="840" w:bottom="960" w:left="1020" w:header="877" w:footer="770" w:gutter="0"/>
          <w:cols w:space="720" w:num="1"/>
        </w:sectPr>
      </w:pPr>
    </w:p>
    <w:p>
      <w:pPr>
        <w:pStyle w:val="12"/>
        <w:wordWrap w:val="0"/>
        <w:ind w:right="176"/>
      </w:pPr>
      <w:r>
        <w:pict>
          <v:rect id="_x0000_s2081" o:spid="_x0000_s2081" o:spt="1" style="position:absolute;left:0pt;margin-left:60.95pt;margin-top:2.45pt;height:0.7pt;width:473.6pt;mso-position-horizontal-relative:page;z-index:-251649024;mso-width-relative:page;mso-height-relative:page;" fillcolor="#000000" filled="t" stroked="f" coordsize="21600,21600">
            <v:path/>
            <v:fill on="t" focussize="0,0"/>
            <v:stroke on="f"/>
            <v:imagedata o:title=""/>
            <o:lock v:ext="edit"/>
          </v:rect>
        </w:pict>
      </w:r>
      <w:bookmarkStart w:id="13" w:name="_TOC_250000"/>
      <w:bookmarkEnd w:id="13"/>
      <w:r>
        <w:rPr>
          <w:spacing w:val="8"/>
        </w:rPr>
        <w:t>第六部分 响应文件格式</w:t>
      </w:r>
    </w:p>
    <w:p>
      <w:pPr>
        <w:pStyle w:val="2"/>
        <w:wordWrap w:val="0"/>
        <w:spacing w:before="14"/>
        <w:rPr>
          <w:rFonts w:ascii="Microsoft YaHei UI"/>
          <w:b/>
          <w:sz w:val="9"/>
        </w:rPr>
      </w:pPr>
    </w:p>
    <w:p>
      <w:pPr>
        <w:wordWrap w:val="0"/>
        <w:spacing w:before="55"/>
        <w:ind w:left="227"/>
        <w:rPr>
          <w:sz w:val="32"/>
        </w:rPr>
      </w:pPr>
      <w:r>
        <w:rPr>
          <w:w w:val="95"/>
          <w:sz w:val="32"/>
        </w:rPr>
        <w:t>封面</w:t>
      </w:r>
    </w:p>
    <w:p>
      <w:pPr>
        <w:pStyle w:val="2"/>
        <w:wordWrap w:val="0"/>
        <w:rPr>
          <w:sz w:val="20"/>
        </w:rPr>
      </w:pPr>
    </w:p>
    <w:p>
      <w:pPr>
        <w:pStyle w:val="2"/>
        <w:wordWrap w:val="0"/>
        <w:rPr>
          <w:sz w:val="20"/>
        </w:rPr>
      </w:pPr>
    </w:p>
    <w:p>
      <w:pPr>
        <w:pStyle w:val="2"/>
        <w:wordWrap w:val="0"/>
        <w:spacing w:before="8"/>
        <w:rPr>
          <w:sz w:val="17"/>
        </w:rPr>
      </w:pPr>
    </w:p>
    <w:p>
      <w:pPr>
        <w:tabs>
          <w:tab w:val="left" w:pos="1987"/>
          <w:tab w:val="left" w:pos="6624"/>
        </w:tabs>
        <w:wordWrap w:val="0"/>
        <w:spacing w:line="716" w:lineRule="exact"/>
        <w:ind w:right="313"/>
        <w:jc w:val="center"/>
        <w:rPr>
          <w:rFonts w:ascii="Microsoft YaHei UI" w:eastAsia="Microsoft YaHei UI"/>
          <w:b/>
          <w:sz w:val="44"/>
        </w:rPr>
      </w:pPr>
      <w:r>
        <w:rPr>
          <w:rFonts w:ascii="Times New Roman" w:eastAsia="Times New Roman"/>
          <w:b/>
          <w:w w:val="99"/>
          <w:sz w:val="44"/>
          <w:u w:val="thick"/>
        </w:rPr>
        <w:t xml:space="preserve"> </w:t>
      </w:r>
      <w:r>
        <w:rPr>
          <w:rFonts w:ascii="Times New Roman" w:eastAsia="Times New Roman"/>
          <w:b/>
          <w:sz w:val="44"/>
          <w:u w:val="thick"/>
        </w:rPr>
        <w:tab/>
      </w:r>
      <w:r>
        <w:rPr>
          <w:rFonts w:hint="eastAsia" w:ascii="Microsoft YaHei UI" w:eastAsia="Microsoft YaHei UI"/>
          <w:b/>
          <w:sz w:val="44"/>
          <w:u w:val="thick"/>
        </w:rPr>
        <w:t>（项目名称）</w:t>
      </w:r>
      <w:r>
        <w:rPr>
          <w:rFonts w:hint="eastAsia" w:ascii="Microsoft YaHei UI" w:eastAsia="Microsoft YaHei UI"/>
          <w:b/>
          <w:sz w:val="44"/>
          <w:u w:val="thick"/>
        </w:rPr>
        <w:tab/>
      </w:r>
    </w:p>
    <w:p>
      <w:pPr>
        <w:pStyle w:val="2"/>
        <w:wordWrap w:val="0"/>
        <w:rPr>
          <w:rFonts w:ascii="Microsoft YaHei UI"/>
          <w:b/>
          <w:sz w:val="20"/>
        </w:rPr>
      </w:pPr>
    </w:p>
    <w:p>
      <w:pPr>
        <w:pStyle w:val="2"/>
        <w:wordWrap w:val="0"/>
        <w:rPr>
          <w:rFonts w:ascii="Microsoft YaHei UI"/>
          <w:b/>
          <w:sz w:val="20"/>
        </w:rPr>
      </w:pPr>
    </w:p>
    <w:p>
      <w:pPr>
        <w:pStyle w:val="2"/>
        <w:wordWrap w:val="0"/>
        <w:spacing w:before="15"/>
        <w:rPr>
          <w:rFonts w:ascii="Microsoft YaHei UI"/>
          <w:b/>
          <w:sz w:val="26"/>
        </w:rPr>
      </w:pPr>
    </w:p>
    <w:p>
      <w:pPr>
        <w:wordWrap w:val="0"/>
        <w:spacing w:line="921" w:lineRule="exact"/>
        <w:ind w:right="279"/>
        <w:jc w:val="center"/>
        <w:rPr>
          <w:sz w:val="72"/>
        </w:rPr>
      </w:pPr>
      <w:r>
        <w:rPr>
          <w:sz w:val="72"/>
        </w:rPr>
        <w:t>响应文件</w:t>
      </w:r>
    </w:p>
    <w:p>
      <w:pPr>
        <w:pStyle w:val="2"/>
        <w:wordWrap w:val="0"/>
        <w:rPr>
          <w:sz w:val="72"/>
        </w:rPr>
      </w:pPr>
    </w:p>
    <w:p>
      <w:pPr>
        <w:pStyle w:val="2"/>
        <w:wordWrap w:val="0"/>
        <w:rPr>
          <w:sz w:val="72"/>
        </w:rPr>
      </w:pPr>
    </w:p>
    <w:p>
      <w:pPr>
        <w:pStyle w:val="2"/>
        <w:wordWrap w:val="0"/>
        <w:rPr>
          <w:sz w:val="72"/>
        </w:rPr>
      </w:pPr>
    </w:p>
    <w:p>
      <w:pPr>
        <w:pStyle w:val="2"/>
        <w:wordWrap w:val="0"/>
        <w:rPr>
          <w:sz w:val="72"/>
        </w:rPr>
      </w:pPr>
    </w:p>
    <w:p>
      <w:pPr>
        <w:pStyle w:val="2"/>
        <w:wordWrap w:val="0"/>
        <w:rPr>
          <w:sz w:val="72"/>
        </w:rPr>
      </w:pPr>
    </w:p>
    <w:p>
      <w:pPr>
        <w:tabs>
          <w:tab w:val="left" w:pos="6790"/>
          <w:tab w:val="left" w:pos="7823"/>
        </w:tabs>
        <w:wordWrap w:val="0"/>
        <w:spacing w:before="637" w:line="528" w:lineRule="auto"/>
        <w:ind w:left="1188" w:right="1974"/>
        <w:rPr>
          <w:rFonts w:ascii="Times New Roman" w:eastAsia="Times New Roman"/>
          <w:sz w:val="32"/>
        </w:rPr>
      </w:pPr>
      <w:r>
        <w:rPr>
          <w:sz w:val="32"/>
        </w:rPr>
        <w:t>供应商名称：</w:t>
      </w:r>
      <w:r>
        <w:rPr>
          <w:rFonts w:ascii="Times New Roman" w:eastAsia="Times New Roman"/>
          <w:sz w:val="32"/>
          <w:u w:val="single"/>
        </w:rPr>
        <w:tab/>
      </w:r>
      <w:r>
        <w:rPr>
          <w:spacing w:val="-1"/>
          <w:sz w:val="32"/>
        </w:rPr>
        <w:t>（盖</w:t>
      </w:r>
      <w:r>
        <w:rPr>
          <w:sz w:val="32"/>
        </w:rPr>
        <w:t>章）</w:t>
      </w:r>
      <w:r>
        <w:rPr>
          <w:spacing w:val="-157"/>
          <w:sz w:val="32"/>
        </w:rPr>
        <w:t xml:space="preserve"> </w:t>
      </w:r>
      <w:r>
        <w:rPr>
          <w:w w:val="95"/>
          <w:sz w:val="32"/>
        </w:rPr>
        <w:t>法定代表人（或授权代表）签字：</w:t>
      </w:r>
      <w:r>
        <w:rPr>
          <w:rFonts w:ascii="Times New Roman" w:eastAsia="Times New Roman"/>
          <w:w w:val="95"/>
          <w:sz w:val="32"/>
          <w:u w:val="single"/>
        </w:rPr>
        <w:t xml:space="preserve"> </w:t>
      </w:r>
      <w:r>
        <w:rPr>
          <w:rFonts w:ascii="Times New Roman" w:eastAsia="Times New Roman"/>
          <w:sz w:val="32"/>
          <w:u w:val="single"/>
        </w:rPr>
        <w:tab/>
      </w:r>
      <w:r>
        <w:rPr>
          <w:rFonts w:ascii="Times New Roman" w:eastAsia="Times New Roman"/>
          <w:sz w:val="32"/>
          <w:u w:val="single"/>
        </w:rPr>
        <w:tab/>
      </w:r>
    </w:p>
    <w:p>
      <w:pPr>
        <w:tabs>
          <w:tab w:val="left" w:pos="3749"/>
          <w:tab w:val="left" w:pos="5669"/>
          <w:tab w:val="left" w:pos="7590"/>
        </w:tabs>
        <w:wordWrap w:val="0"/>
        <w:spacing w:line="407" w:lineRule="exact"/>
        <w:ind w:left="1188"/>
        <w:rPr>
          <w:sz w:val="32"/>
        </w:rPr>
      </w:pPr>
      <w:r>
        <w:rPr>
          <w:sz w:val="32"/>
        </w:rPr>
        <w:t>日期：</w:t>
      </w:r>
      <w:r>
        <w:rPr>
          <w:rFonts w:ascii="Times New Roman" w:eastAsia="Times New Roman"/>
          <w:sz w:val="32"/>
          <w:u w:val="single"/>
        </w:rPr>
        <w:tab/>
      </w:r>
      <w:r>
        <w:rPr>
          <w:sz w:val="32"/>
        </w:rPr>
        <w:t>年</w:t>
      </w:r>
      <w:r>
        <w:rPr>
          <w:rFonts w:ascii="Times New Roman" w:eastAsia="Times New Roman"/>
          <w:sz w:val="32"/>
          <w:u w:val="single"/>
        </w:rPr>
        <w:tab/>
      </w:r>
      <w:r>
        <w:rPr>
          <w:sz w:val="32"/>
        </w:rPr>
        <w:t>月</w:t>
      </w:r>
      <w:r>
        <w:rPr>
          <w:rFonts w:ascii="Times New Roman" w:eastAsia="Times New Roman"/>
          <w:sz w:val="32"/>
          <w:u w:val="single"/>
        </w:rPr>
        <w:tab/>
      </w:r>
      <w:r>
        <w:rPr>
          <w:sz w:val="32"/>
        </w:rPr>
        <w:t>日</w:t>
      </w:r>
    </w:p>
    <w:p>
      <w:pPr>
        <w:wordWrap w:val="0"/>
        <w:spacing w:line="407" w:lineRule="exact"/>
        <w:rPr>
          <w:sz w:val="32"/>
        </w:rPr>
        <w:sectPr>
          <w:headerReference r:id="rId9" w:type="default"/>
          <w:footerReference r:id="rId10" w:type="default"/>
          <w:pgSz w:w="11910" w:h="16840"/>
          <w:pgMar w:top="1280" w:right="840" w:bottom="960" w:left="1020" w:header="877" w:footer="770" w:gutter="0"/>
          <w:cols w:space="720" w:num="1"/>
        </w:sectPr>
      </w:pPr>
    </w:p>
    <w:p>
      <w:pPr>
        <w:pStyle w:val="2"/>
        <w:wordWrap w:val="0"/>
        <w:rPr>
          <w:sz w:val="20"/>
        </w:rPr>
      </w:pPr>
    </w:p>
    <w:p>
      <w:pPr>
        <w:pStyle w:val="2"/>
        <w:wordWrap w:val="0"/>
        <w:rPr>
          <w:sz w:val="20"/>
        </w:rPr>
      </w:pPr>
    </w:p>
    <w:p>
      <w:pPr>
        <w:wordWrap w:val="0"/>
        <w:spacing w:before="238"/>
        <w:ind w:right="740"/>
        <w:jc w:val="center"/>
        <w:rPr>
          <w:sz w:val="32"/>
        </w:rPr>
      </w:pPr>
      <w:r>
        <w:rPr>
          <w:w w:val="95"/>
          <w:sz w:val="32"/>
        </w:rPr>
        <w:t>目录</w:t>
      </w:r>
    </w:p>
    <w:p>
      <w:pPr>
        <w:pStyle w:val="2"/>
        <w:wordWrap w:val="0"/>
        <w:spacing w:before="5"/>
        <w:rPr>
          <w:sz w:val="30"/>
        </w:rPr>
      </w:pPr>
    </w:p>
    <w:p>
      <w:pPr>
        <w:tabs>
          <w:tab w:val="left" w:pos="1433"/>
        </w:tabs>
        <w:wordWrap w:val="0"/>
        <w:spacing w:before="1"/>
        <w:ind w:left="227"/>
        <w:rPr>
          <w:rFonts w:ascii="Microsoft YaHei UI" w:eastAsia="Microsoft YaHei UI"/>
          <w:b/>
          <w:sz w:val="24"/>
        </w:rPr>
      </w:pPr>
      <w:r>
        <w:rPr>
          <w:rFonts w:hint="eastAsia" w:ascii="Microsoft YaHei UI" w:eastAsia="Microsoft YaHei UI"/>
          <w:b/>
          <w:sz w:val="24"/>
        </w:rPr>
        <w:t>第一部分</w:t>
      </w:r>
      <w:r>
        <w:rPr>
          <w:rFonts w:hint="eastAsia" w:ascii="Microsoft YaHei UI" w:eastAsia="Microsoft YaHei UI"/>
          <w:b/>
          <w:sz w:val="24"/>
        </w:rPr>
        <w:tab/>
      </w:r>
      <w:r>
        <w:rPr>
          <w:rFonts w:hint="eastAsia" w:ascii="Microsoft YaHei UI" w:eastAsia="Microsoft YaHei UI"/>
          <w:b/>
          <w:sz w:val="24"/>
        </w:rPr>
        <w:t>资格、资质证明材料</w:t>
      </w:r>
    </w:p>
    <w:p>
      <w:pPr>
        <w:wordWrap w:val="0"/>
        <w:spacing w:before="56"/>
        <w:ind w:left="449"/>
      </w:pPr>
      <w:r>
        <w:t>一、磋商响应函</w:t>
      </w:r>
    </w:p>
    <w:p>
      <w:pPr>
        <w:wordWrap w:val="0"/>
        <w:spacing w:before="119" w:line="340" w:lineRule="auto"/>
        <w:ind w:left="449" w:right="5853"/>
        <w:jc w:val="both"/>
      </w:pPr>
      <w:r>
        <w:t>二、法定代表人身份证明或授权委托书三、营业执照副本和税务登记证复印件四、无重大违法行为声明</w:t>
      </w:r>
    </w:p>
    <w:p>
      <w:pPr>
        <w:wordWrap w:val="0"/>
        <w:ind w:left="449"/>
      </w:pPr>
      <w:r>
        <w:rPr>
          <w:spacing w:val="-1"/>
        </w:rPr>
        <w:t>五、医疗器械注册证、生产许可证、经营许可证、授权书</w:t>
      </w:r>
    </w:p>
    <w:p>
      <w:pPr>
        <w:tabs>
          <w:tab w:val="left" w:pos="1433"/>
        </w:tabs>
        <w:wordWrap w:val="0"/>
        <w:spacing w:before="34"/>
        <w:ind w:left="227"/>
        <w:rPr>
          <w:rFonts w:ascii="Microsoft YaHei UI" w:eastAsia="Microsoft YaHei UI"/>
          <w:b/>
          <w:sz w:val="24"/>
        </w:rPr>
      </w:pPr>
      <w:r>
        <w:rPr>
          <w:rFonts w:hint="eastAsia" w:ascii="Microsoft YaHei UI" w:eastAsia="Microsoft YaHei UI"/>
          <w:b/>
          <w:sz w:val="24"/>
        </w:rPr>
        <w:t>第二部分</w:t>
      </w:r>
      <w:r>
        <w:rPr>
          <w:rFonts w:hint="eastAsia" w:ascii="Microsoft YaHei UI" w:eastAsia="Microsoft YaHei UI"/>
          <w:b/>
          <w:sz w:val="24"/>
        </w:rPr>
        <w:tab/>
      </w:r>
      <w:r>
        <w:rPr>
          <w:rFonts w:hint="eastAsia" w:ascii="Microsoft YaHei UI" w:eastAsia="Microsoft YaHei UI"/>
          <w:b/>
          <w:sz w:val="24"/>
        </w:rPr>
        <w:t>响应报价部分</w:t>
      </w:r>
    </w:p>
    <w:p>
      <w:pPr>
        <w:wordWrap w:val="0"/>
        <w:spacing w:before="56" w:line="340" w:lineRule="auto"/>
        <w:ind w:left="449" w:right="8051"/>
      </w:pPr>
      <w:r>
        <w:t>六、报价一览表七、分项报价表</w:t>
      </w:r>
    </w:p>
    <w:p>
      <w:pPr>
        <w:wordWrap w:val="0"/>
        <w:spacing w:before="1"/>
        <w:ind w:left="449"/>
      </w:pPr>
      <w:r>
        <w:rPr>
          <w:spacing w:val="-1"/>
        </w:rPr>
        <w:t>八、耗材</w:t>
      </w:r>
      <w:r>
        <w:rPr>
          <w:rFonts w:ascii="Calibri" w:eastAsia="Calibri"/>
        </w:rPr>
        <w:t>/</w:t>
      </w:r>
      <w:r>
        <w:t>试剂报价表</w:t>
      </w:r>
    </w:p>
    <w:p>
      <w:pPr>
        <w:wordWrap w:val="0"/>
        <w:spacing w:before="117"/>
        <w:ind w:left="449"/>
      </w:pPr>
      <w:r>
        <w:rPr>
          <w:spacing w:val="-1"/>
        </w:rPr>
        <w:t>九、维保期后维修费用承诺表</w:t>
      </w:r>
    </w:p>
    <w:p>
      <w:pPr>
        <w:tabs>
          <w:tab w:val="left" w:pos="1433"/>
        </w:tabs>
        <w:wordWrap w:val="0"/>
        <w:spacing w:before="34"/>
        <w:ind w:left="227"/>
        <w:rPr>
          <w:rFonts w:ascii="Microsoft YaHei UI" w:eastAsia="Microsoft YaHei UI"/>
          <w:b/>
          <w:sz w:val="24"/>
        </w:rPr>
      </w:pPr>
      <w:r>
        <w:rPr>
          <w:rFonts w:hint="eastAsia" w:ascii="Microsoft YaHei UI" w:eastAsia="Microsoft YaHei UI"/>
          <w:b/>
          <w:sz w:val="24"/>
        </w:rPr>
        <w:t>第三部分</w:t>
      </w:r>
      <w:r>
        <w:rPr>
          <w:rFonts w:hint="eastAsia" w:ascii="Microsoft YaHei UI" w:eastAsia="Microsoft YaHei UI"/>
          <w:b/>
          <w:sz w:val="24"/>
        </w:rPr>
        <w:tab/>
      </w:r>
      <w:r>
        <w:rPr>
          <w:rFonts w:hint="eastAsia" w:ascii="Microsoft YaHei UI" w:eastAsia="Microsoft YaHei UI"/>
          <w:b/>
          <w:sz w:val="24"/>
        </w:rPr>
        <w:t>技术部分</w:t>
      </w:r>
    </w:p>
    <w:p>
      <w:pPr>
        <w:wordWrap w:val="0"/>
        <w:spacing w:before="58"/>
        <w:ind w:left="449"/>
      </w:pPr>
      <w:r>
        <w:t>十、技术条款响应表</w:t>
      </w:r>
    </w:p>
    <w:p>
      <w:pPr>
        <w:wordWrap w:val="0"/>
        <w:spacing w:before="117" w:line="340" w:lineRule="auto"/>
        <w:ind w:left="449" w:right="6955"/>
      </w:pPr>
      <w:r>
        <w:rPr>
          <w:spacing w:val="-1"/>
        </w:rPr>
        <w:t>十一、品牌影响力证明材料</w:t>
      </w:r>
      <w:r>
        <w:t>十二、售后服务方案</w:t>
      </w:r>
    </w:p>
    <w:p>
      <w:pPr>
        <w:wordWrap w:val="0"/>
        <w:spacing w:before="1"/>
        <w:ind w:left="449"/>
      </w:pPr>
      <w:r>
        <w:t>十三、说明书或彩页</w:t>
      </w:r>
    </w:p>
    <w:p>
      <w:pPr>
        <w:tabs>
          <w:tab w:val="left" w:pos="1433"/>
        </w:tabs>
        <w:wordWrap w:val="0"/>
        <w:spacing w:before="32"/>
        <w:ind w:left="227"/>
        <w:rPr>
          <w:rFonts w:ascii="Microsoft YaHei UI" w:eastAsia="Microsoft YaHei UI"/>
          <w:b/>
          <w:sz w:val="24"/>
        </w:rPr>
      </w:pPr>
      <w:r>
        <w:rPr>
          <w:rFonts w:hint="eastAsia" w:ascii="Microsoft YaHei UI" w:eastAsia="Microsoft YaHei UI"/>
          <w:b/>
          <w:sz w:val="24"/>
        </w:rPr>
        <w:t>第四部分</w:t>
      </w:r>
      <w:r>
        <w:rPr>
          <w:rFonts w:hint="eastAsia" w:ascii="Microsoft YaHei UI" w:eastAsia="Microsoft YaHei UI"/>
          <w:b/>
          <w:sz w:val="24"/>
        </w:rPr>
        <w:tab/>
      </w:r>
      <w:r>
        <w:rPr>
          <w:rFonts w:hint="eastAsia" w:ascii="Microsoft YaHei UI" w:eastAsia="Microsoft YaHei UI"/>
          <w:b/>
          <w:sz w:val="24"/>
        </w:rPr>
        <w:t>商务部分</w:t>
      </w:r>
    </w:p>
    <w:p>
      <w:pPr>
        <w:wordWrap w:val="0"/>
        <w:spacing w:before="59"/>
        <w:ind w:left="449"/>
      </w:pPr>
      <w:r>
        <w:t>十四、供应商基本信息</w:t>
      </w:r>
    </w:p>
    <w:p>
      <w:pPr>
        <w:wordWrap w:val="0"/>
        <w:spacing w:before="119" w:line="338" w:lineRule="auto"/>
        <w:ind w:left="449" w:right="6513"/>
      </w:pPr>
      <w:r>
        <w:t>十五、响应产品销售业绩一览表十六、增值服务承诺</w:t>
      </w:r>
    </w:p>
    <w:p>
      <w:pPr>
        <w:wordWrap w:val="0"/>
        <w:spacing w:before="4"/>
        <w:ind w:left="449"/>
      </w:pPr>
      <w:r>
        <w:t>十七、其他供应商认为需要的材料</w:t>
      </w:r>
    </w:p>
    <w:p>
      <w:pPr>
        <w:wordWrap w:val="0"/>
        <w:sectPr>
          <w:headerReference r:id="rId11" w:type="default"/>
          <w:footerReference r:id="rId12" w:type="default"/>
          <w:pgSz w:w="11910" w:h="16840"/>
          <w:pgMar w:top="1340" w:right="840" w:bottom="960" w:left="1020" w:header="877" w:footer="770" w:gutter="0"/>
          <w:cols w:space="720" w:num="1"/>
        </w:sectPr>
      </w:pPr>
    </w:p>
    <w:p>
      <w:pPr>
        <w:pStyle w:val="2"/>
        <w:wordWrap w:val="0"/>
        <w:spacing w:before="7"/>
      </w:pPr>
    </w:p>
    <w:p>
      <w:pPr>
        <w:tabs>
          <w:tab w:val="left" w:pos="2208"/>
        </w:tabs>
        <w:wordWrap w:val="0"/>
        <w:spacing w:line="702" w:lineRule="exact"/>
        <w:ind w:right="174"/>
        <w:jc w:val="center"/>
        <w:rPr>
          <w:rFonts w:ascii="Microsoft YaHei UI" w:eastAsia="Microsoft YaHei UI"/>
          <w:b/>
          <w:sz w:val="44"/>
        </w:rPr>
      </w:pPr>
      <w:r>
        <w:rPr>
          <w:rFonts w:hint="eastAsia" w:ascii="Microsoft YaHei UI" w:eastAsia="Microsoft YaHei UI"/>
          <w:b/>
          <w:sz w:val="44"/>
        </w:rPr>
        <w:t>第一部分</w:t>
      </w:r>
      <w:r>
        <w:rPr>
          <w:rFonts w:hint="eastAsia" w:ascii="Microsoft YaHei UI" w:eastAsia="Microsoft YaHei UI"/>
          <w:b/>
          <w:sz w:val="44"/>
        </w:rPr>
        <w:tab/>
      </w:r>
      <w:r>
        <w:rPr>
          <w:rFonts w:hint="eastAsia" w:ascii="Microsoft YaHei UI" w:eastAsia="Microsoft YaHei UI"/>
          <w:b/>
          <w:w w:val="95"/>
          <w:sz w:val="44"/>
        </w:rPr>
        <w:t>资格、资质证明材料</w:t>
      </w:r>
    </w:p>
    <w:p>
      <w:pPr>
        <w:wordWrap w:val="0"/>
        <w:spacing w:before="301"/>
        <w:ind w:left="227"/>
        <w:rPr>
          <w:rFonts w:ascii="Microsoft YaHei UI" w:eastAsia="Microsoft YaHei UI"/>
          <w:b/>
          <w:sz w:val="28"/>
        </w:rPr>
      </w:pPr>
      <w:r>
        <w:rPr>
          <w:rFonts w:hint="eastAsia" w:ascii="Microsoft YaHei UI" w:eastAsia="Microsoft YaHei UI"/>
          <w:b/>
          <w:sz w:val="28"/>
        </w:rPr>
        <w:t>一、磋商响应函</w:t>
      </w:r>
    </w:p>
    <w:p>
      <w:pPr>
        <w:pStyle w:val="2"/>
        <w:wordWrap w:val="0"/>
        <w:spacing w:before="6"/>
        <w:rPr>
          <w:rFonts w:ascii="Microsoft YaHei UI"/>
          <w:b/>
          <w:sz w:val="20"/>
        </w:rPr>
      </w:pPr>
    </w:p>
    <w:p>
      <w:pPr>
        <w:wordWrap w:val="0"/>
        <w:rPr>
          <w:rFonts w:ascii="Microsoft YaHei UI"/>
          <w:sz w:val="20"/>
        </w:rPr>
        <w:sectPr>
          <w:pgSz w:w="11910" w:h="16840"/>
          <w:pgMar w:top="1340" w:right="840" w:bottom="960" w:left="1020" w:header="877" w:footer="770" w:gutter="0"/>
          <w:cols w:space="720" w:num="1"/>
        </w:sectPr>
      </w:pPr>
    </w:p>
    <w:p>
      <w:pPr>
        <w:pStyle w:val="2"/>
        <w:wordWrap w:val="0"/>
        <w:spacing w:before="6"/>
        <w:rPr>
          <w:rFonts w:ascii="Microsoft YaHei UI"/>
          <w:b/>
          <w:sz w:val="32"/>
        </w:rPr>
      </w:pPr>
    </w:p>
    <w:p>
      <w:pPr>
        <w:pStyle w:val="2"/>
        <w:wordWrap w:val="0"/>
        <w:spacing w:before="1"/>
        <w:ind w:left="227"/>
      </w:pPr>
      <w:r>
        <w:t>宿迁市中医院：</w:t>
      </w:r>
    </w:p>
    <w:p>
      <w:pPr>
        <w:wordWrap w:val="0"/>
        <w:spacing w:line="537" w:lineRule="exact"/>
        <w:ind w:left="228"/>
        <w:rPr>
          <w:rFonts w:ascii="Microsoft YaHei UI" w:eastAsia="Microsoft YaHei UI"/>
          <w:b/>
          <w:sz w:val="32"/>
        </w:rPr>
      </w:pPr>
      <w:r>
        <w:br w:type="column"/>
      </w:r>
      <w:r>
        <w:rPr>
          <w:rFonts w:hint="eastAsia" w:ascii="Microsoft YaHei UI" w:eastAsia="Microsoft YaHei UI"/>
          <w:b/>
          <w:spacing w:val="24"/>
          <w:w w:val="95"/>
          <w:sz w:val="32"/>
        </w:rPr>
        <w:t>磋商响应函</w:t>
      </w:r>
    </w:p>
    <w:p>
      <w:pPr>
        <w:wordWrap w:val="0"/>
        <w:spacing w:line="537" w:lineRule="exact"/>
        <w:rPr>
          <w:rFonts w:ascii="Microsoft YaHei UI" w:eastAsia="Microsoft YaHei UI"/>
          <w:sz w:val="32"/>
        </w:rPr>
        <w:sectPr>
          <w:type w:val="continuous"/>
          <w:pgSz w:w="11910" w:h="16840"/>
          <w:pgMar w:top="1340" w:right="840" w:bottom="960" w:left="1020" w:header="720" w:footer="720" w:gutter="0"/>
          <w:cols w:equalWidth="0" w:num="2">
            <w:col w:w="2669" w:space="1160"/>
            <w:col w:w="6221"/>
          </w:cols>
        </w:sectPr>
      </w:pPr>
    </w:p>
    <w:p>
      <w:pPr>
        <w:pStyle w:val="2"/>
        <w:tabs>
          <w:tab w:val="left" w:pos="7122"/>
        </w:tabs>
        <w:wordWrap w:val="0"/>
        <w:spacing w:before="131" w:line="343" w:lineRule="auto"/>
        <w:ind w:left="227" w:right="282" w:firstLine="480"/>
      </w:pPr>
      <w:r>
        <w:t>经研究</w:t>
      </w:r>
      <w:r>
        <w:rPr>
          <w:spacing w:val="-94"/>
        </w:rPr>
        <w:t>，</w:t>
      </w:r>
      <w:r>
        <w:t>我们决定参加宿迁市中医院编号为</w:t>
      </w:r>
      <w:r>
        <w:rPr>
          <w:rFonts w:ascii="Times New Roman" w:eastAsia="Times New Roman"/>
          <w:u w:val="single"/>
        </w:rPr>
        <w:tab/>
      </w:r>
      <w:r>
        <w:rPr>
          <w:spacing w:val="-1"/>
          <w:u w:val="single"/>
        </w:rPr>
        <w:t>（</w:t>
      </w:r>
      <w:r>
        <w:rPr>
          <w:spacing w:val="-1"/>
        </w:rPr>
        <w:t>划</w:t>
      </w:r>
      <w:r>
        <w:t>线处填写项目编号）</w:t>
      </w:r>
      <w:r>
        <w:rPr>
          <w:spacing w:val="-117"/>
        </w:rPr>
        <w:t xml:space="preserve"> </w:t>
      </w:r>
      <w:r>
        <w:t>的竞争性磋商活动，为此，我方郑重声明以下几点，并负法律责任。</w:t>
      </w:r>
    </w:p>
    <w:p>
      <w:pPr>
        <w:pStyle w:val="2"/>
        <w:wordWrap w:val="0"/>
        <w:spacing w:before="2" w:line="343" w:lineRule="auto"/>
        <w:ind w:left="227" w:right="406" w:firstLine="480"/>
      </w:pPr>
      <w:r>
        <w:t>一、我们已详细审核全部竞争性磋商文件及其有效补充文件，我们放弃对竞争性磋商文件任何误解的权利，提交竞争性磋商响应文件后，不对竞争性磋商文件本身提出质疑；</w:t>
      </w:r>
    </w:p>
    <w:p>
      <w:pPr>
        <w:pStyle w:val="2"/>
        <w:wordWrap w:val="0"/>
        <w:spacing w:line="306" w:lineRule="exact"/>
        <w:ind w:left="708"/>
      </w:pPr>
      <w:r>
        <w:t>二、我方按竞争性磋商文件要求提交响应文件；</w:t>
      </w:r>
    </w:p>
    <w:p>
      <w:pPr>
        <w:pStyle w:val="2"/>
        <w:wordWrap w:val="0"/>
        <w:spacing w:before="134" w:line="343" w:lineRule="auto"/>
        <w:ind w:left="227" w:right="404" w:firstLine="480"/>
        <w:jc w:val="both"/>
      </w:pPr>
      <w:r>
        <w:t>三、我方具备履行合同所必需的设备和专业技术能力；如果我方的响应文件被接受，</w:t>
      </w:r>
      <w:r>
        <w:rPr>
          <w:spacing w:val="-118"/>
        </w:rPr>
        <w:t xml:space="preserve"> </w:t>
      </w:r>
      <w:r>
        <w:t>我方将履行磋商文件中规定的每项要求，并按我方响应文件中的承诺按期、按质、按量交付你方；</w:t>
      </w:r>
    </w:p>
    <w:p>
      <w:pPr>
        <w:pStyle w:val="2"/>
        <w:wordWrap w:val="0"/>
        <w:spacing w:before="1"/>
        <w:ind w:left="708"/>
      </w:pPr>
      <w:r>
        <w:t>四、我方理解，最低报价不是成交的唯一条件，你方有选择成交人的权利；</w:t>
      </w:r>
    </w:p>
    <w:p>
      <w:pPr>
        <w:pStyle w:val="2"/>
        <w:wordWrap w:val="0"/>
        <w:spacing w:before="132" w:line="343" w:lineRule="auto"/>
        <w:ind w:left="227" w:right="403" w:firstLine="480"/>
      </w:pPr>
      <w:r>
        <w:t>五、我方愿按《中华人民共和国合同法》及其他有关法律、法规的规定，自觉履行自己的全部责任；</w:t>
      </w:r>
    </w:p>
    <w:p>
      <w:pPr>
        <w:pStyle w:val="2"/>
        <w:wordWrap w:val="0"/>
        <w:spacing w:before="2"/>
        <w:ind w:left="708"/>
      </w:pPr>
      <w:r>
        <w:rPr>
          <w:spacing w:val="-1"/>
        </w:rPr>
        <w:t>六、我方响应竞争性磋商文件规定的有效期。</w:t>
      </w:r>
    </w:p>
    <w:p>
      <w:pPr>
        <w:pStyle w:val="2"/>
        <w:wordWrap w:val="0"/>
      </w:pPr>
    </w:p>
    <w:p>
      <w:pPr>
        <w:pStyle w:val="2"/>
        <w:wordWrap w:val="0"/>
      </w:pPr>
    </w:p>
    <w:p>
      <w:pPr>
        <w:pStyle w:val="2"/>
        <w:wordWrap w:val="0"/>
      </w:pPr>
    </w:p>
    <w:p>
      <w:pPr>
        <w:pStyle w:val="2"/>
        <w:wordWrap w:val="0"/>
        <w:spacing w:before="8"/>
        <w:rPr>
          <w:sz w:val="23"/>
        </w:rPr>
      </w:pPr>
    </w:p>
    <w:p>
      <w:pPr>
        <w:pStyle w:val="2"/>
        <w:tabs>
          <w:tab w:val="left" w:pos="4363"/>
        </w:tabs>
        <w:wordWrap w:val="0"/>
        <w:spacing w:before="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11"/>
        <w:rPr>
          <w:rFonts w:ascii="Times New Roman"/>
          <w:sz w:val="22"/>
        </w:rPr>
      </w:pPr>
    </w:p>
    <w:p>
      <w:pPr>
        <w:pStyle w:val="2"/>
        <w:tabs>
          <w:tab w:val="left" w:pos="1548"/>
          <w:tab w:val="left" w:pos="2268"/>
          <w:tab w:val="left" w:pos="2988"/>
        </w:tabs>
        <w:wordWrap w:val="0"/>
        <w:spacing w:before="66" w:line="501"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501" w:lineRule="auto"/>
        <w:sectPr>
          <w:type w:val="continuous"/>
          <w:pgSz w:w="11910" w:h="16840"/>
          <w:pgMar w:top="1340" w:right="840" w:bottom="960" w:left="1020" w:header="720" w:footer="720" w:gutter="0"/>
          <w:cols w:space="720" w:num="1"/>
        </w:sectPr>
      </w:pPr>
    </w:p>
    <w:p>
      <w:pPr>
        <w:pStyle w:val="2"/>
        <w:wordWrap w:val="0"/>
        <w:rPr>
          <w:sz w:val="20"/>
        </w:rPr>
      </w:pPr>
    </w:p>
    <w:p>
      <w:pPr>
        <w:pStyle w:val="2"/>
        <w:wordWrap w:val="0"/>
        <w:spacing w:before="2"/>
        <w:rPr>
          <w:sz w:val="15"/>
        </w:rPr>
      </w:pPr>
    </w:p>
    <w:p>
      <w:pPr>
        <w:wordWrap w:val="0"/>
        <w:spacing w:line="484" w:lineRule="exact"/>
        <w:ind w:left="227"/>
        <w:rPr>
          <w:rFonts w:ascii="Microsoft YaHei UI" w:eastAsia="Microsoft YaHei UI"/>
          <w:b/>
          <w:sz w:val="28"/>
        </w:rPr>
      </w:pPr>
      <w:r>
        <w:rPr>
          <w:rFonts w:hint="eastAsia" w:ascii="Microsoft YaHei UI" w:eastAsia="Microsoft YaHei UI"/>
          <w:b/>
          <w:sz w:val="28"/>
        </w:rPr>
        <w:t>二、法定代表人身份证明或授权委托书</w:t>
      </w:r>
    </w:p>
    <w:p>
      <w:pPr>
        <w:pStyle w:val="2"/>
        <w:wordWrap w:val="0"/>
        <w:spacing w:before="11"/>
        <w:rPr>
          <w:rFonts w:ascii="Microsoft YaHei UI"/>
          <w:b/>
          <w:sz w:val="18"/>
        </w:rPr>
      </w:pPr>
    </w:p>
    <w:p>
      <w:pPr>
        <w:wordWrap w:val="0"/>
        <w:ind w:right="179"/>
        <w:jc w:val="center"/>
        <w:rPr>
          <w:rFonts w:ascii="Microsoft YaHei UI" w:eastAsia="Microsoft YaHei UI"/>
          <w:b/>
          <w:sz w:val="32"/>
        </w:rPr>
      </w:pPr>
      <w:r>
        <w:rPr>
          <w:rFonts w:hint="eastAsia" w:ascii="Microsoft YaHei UI" w:eastAsia="Microsoft YaHei UI"/>
          <w:b/>
          <w:w w:val="95"/>
          <w:sz w:val="32"/>
        </w:rPr>
        <w:t>法定代表人授权委托书</w:t>
      </w:r>
    </w:p>
    <w:p>
      <w:pPr>
        <w:pStyle w:val="2"/>
        <w:wordWrap w:val="0"/>
        <w:spacing w:before="13"/>
        <w:rPr>
          <w:rFonts w:ascii="Microsoft YaHei UI"/>
          <w:b/>
          <w:sz w:val="26"/>
        </w:rPr>
      </w:pPr>
    </w:p>
    <w:p>
      <w:pPr>
        <w:pStyle w:val="2"/>
        <w:wordWrap w:val="0"/>
        <w:spacing w:before="1"/>
        <w:ind w:left="227"/>
      </w:pPr>
      <w:r>
        <w:t>宿迁市中医院：</w:t>
      </w:r>
    </w:p>
    <w:p>
      <w:pPr>
        <w:pStyle w:val="2"/>
        <w:tabs>
          <w:tab w:val="left" w:pos="2148"/>
          <w:tab w:val="left" w:pos="3108"/>
          <w:tab w:val="left" w:pos="7242"/>
          <w:tab w:val="left" w:pos="9697"/>
        </w:tabs>
        <w:wordWrap w:val="0"/>
        <w:spacing w:before="134" w:line="343" w:lineRule="auto"/>
        <w:ind w:left="227" w:right="346" w:firstLine="480"/>
        <w:rPr>
          <w:rFonts w:ascii="Times New Roman" w:eastAsia="Times New Roman"/>
        </w:rPr>
      </w:pPr>
      <w:r>
        <w:rPr>
          <w:rFonts w:ascii="Times New Roman" w:eastAsia="Times New Roman"/>
          <w:u w:val="single"/>
        </w:rPr>
        <w:t xml:space="preserve"> </w:t>
      </w:r>
      <w:r>
        <w:rPr>
          <w:rFonts w:ascii="Times New Roman" w:eastAsia="Times New Roman"/>
          <w:u w:val="single"/>
        </w:rPr>
        <w:tab/>
      </w:r>
      <w:r>
        <w:t>（划线处填写供应商名称）法定代表人</w:t>
      </w:r>
      <w:r>
        <w:rPr>
          <w:rFonts w:ascii="Times New Roman" w:eastAsia="Times New Roman"/>
          <w:u w:val="single"/>
        </w:rPr>
        <w:tab/>
      </w:r>
      <w:r>
        <w:t>（划线处填写法定代表人姓名</w:t>
      </w:r>
      <w:r>
        <w:rPr>
          <w:spacing w:val="-120"/>
        </w:rPr>
        <w:t>）</w:t>
      </w:r>
      <w:r>
        <w:t>，身份证号</w:t>
      </w:r>
      <w:r>
        <w:rPr>
          <w:rFonts w:ascii="Times New Roman" w:eastAsia="Times New Roman"/>
          <w:u w:val="single"/>
        </w:rPr>
        <w:t xml:space="preserve"> </w:t>
      </w:r>
      <w:r>
        <w:rPr>
          <w:rFonts w:ascii="Times New Roman" w:eastAsia="Times New Roman"/>
          <w:u w:val="single"/>
        </w:rPr>
        <w:tab/>
      </w:r>
      <w:r>
        <w:t>（划线处填写法人身份证号</w:t>
      </w:r>
      <w:r>
        <w:rPr>
          <w:spacing w:val="-120"/>
        </w:rPr>
        <w:t>）</w:t>
      </w:r>
      <w:r>
        <w:t>，授权我单位</w:t>
      </w:r>
      <w:r>
        <w:rPr>
          <w:rFonts w:ascii="Times New Roman" w:eastAsia="Times New Roman"/>
          <w:u w:val="single"/>
        </w:rPr>
        <w:t xml:space="preserve"> </w:t>
      </w:r>
      <w:r>
        <w:rPr>
          <w:rFonts w:ascii="Times New Roman" w:eastAsia="Times New Roman"/>
          <w:u w:val="single"/>
        </w:rPr>
        <w:tab/>
      </w:r>
    </w:p>
    <w:p>
      <w:pPr>
        <w:pStyle w:val="2"/>
        <w:tabs>
          <w:tab w:val="left" w:pos="5225"/>
          <w:tab w:val="left" w:pos="5345"/>
        </w:tabs>
        <w:wordWrap w:val="0"/>
        <w:spacing w:line="343" w:lineRule="auto"/>
        <w:ind w:left="227" w:right="399"/>
        <w:jc w:val="both"/>
      </w:pPr>
      <w:r>
        <w:t>（划线处填写授权代表姓名</w:t>
      </w:r>
      <w:r>
        <w:rPr>
          <w:spacing w:val="-119"/>
        </w:rPr>
        <w:t>）</w:t>
      </w:r>
      <w:r>
        <w:rPr>
          <w:spacing w:val="-22"/>
        </w:rPr>
        <w:t>，</w:t>
      </w:r>
      <w:r>
        <w:t>身份证号</w:t>
      </w:r>
      <w:r>
        <w:rPr>
          <w:rFonts w:ascii="Times New Roman" w:eastAsia="Times New Roman"/>
          <w:u w:val="single"/>
        </w:rPr>
        <w:t xml:space="preserve"> </w:t>
      </w:r>
      <w:r>
        <w:rPr>
          <w:rFonts w:ascii="Times New Roman" w:eastAsia="Times New Roman"/>
          <w:u w:val="single"/>
        </w:rPr>
        <w:tab/>
      </w:r>
      <w:r>
        <w:t>（划线处填写授权代表身份证号</w:t>
      </w:r>
      <w:r>
        <w:rPr>
          <w:spacing w:val="-120"/>
        </w:rPr>
        <w:t>）</w:t>
      </w:r>
      <w:r>
        <w:rPr>
          <w:spacing w:val="-21"/>
        </w:rPr>
        <w:t>，</w:t>
      </w:r>
      <w:r>
        <w:t>为我</w:t>
      </w:r>
      <w:r>
        <w:rPr>
          <w:spacing w:val="-17"/>
        </w:rPr>
        <w:t>单</w:t>
      </w:r>
      <w:r>
        <w:t>位本次授权代理人，全权处理此次编号为</w:t>
      </w:r>
      <w:r>
        <w:rPr>
          <w:rFonts w:ascii="Times New Roman" w:eastAsia="Times New Roman"/>
          <w:u w:val="single"/>
        </w:rPr>
        <w:tab/>
      </w:r>
      <w:r>
        <w:rPr>
          <w:rFonts w:ascii="Times New Roman" w:eastAsia="Times New Roman"/>
          <w:u w:val="single"/>
        </w:rPr>
        <w:tab/>
      </w:r>
      <w:r>
        <w:rPr>
          <w:spacing w:val="-2"/>
        </w:rPr>
        <w:t>（划线处</w:t>
      </w:r>
      <w:r>
        <w:rPr>
          <w:spacing w:val="-1"/>
        </w:rPr>
        <w:t>填写项目编号）竞争性磋商活动</w:t>
      </w:r>
      <w:r>
        <w:t>的一切事宜。</w:t>
      </w:r>
    </w:p>
    <w:p>
      <w:pPr>
        <w:pStyle w:val="2"/>
        <w:wordWrap w:val="0"/>
        <w:ind w:left="859"/>
      </w:pPr>
      <w:r>
        <w:rPr>
          <w:spacing w:val="-1"/>
        </w:rPr>
        <w:t>特此授权。</w:t>
      </w:r>
    </w:p>
    <w:p>
      <w:pPr>
        <w:pStyle w:val="2"/>
        <w:wordWrap w:val="0"/>
        <w:spacing w:before="134"/>
        <w:ind w:left="828"/>
      </w:pPr>
      <w:r>
        <w:t>（附法定代表人、授权代理人身份证复印件）</w:t>
      </w:r>
    </w:p>
    <w:p>
      <w:pPr>
        <w:pStyle w:val="2"/>
        <w:wordWrap w:val="0"/>
      </w:pPr>
    </w:p>
    <w:p>
      <w:pPr>
        <w:pStyle w:val="2"/>
        <w:wordWrap w:val="0"/>
      </w:pPr>
    </w:p>
    <w:p>
      <w:pPr>
        <w:pStyle w:val="2"/>
        <w:tabs>
          <w:tab w:val="left" w:pos="4363"/>
        </w:tabs>
        <w:wordWrap w:val="0"/>
        <w:spacing w:before="170"/>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2"/>
        <w:rPr>
          <w:rFonts w:ascii="Times New Roman"/>
          <w:sz w:val="23"/>
        </w:rPr>
      </w:pPr>
    </w:p>
    <w:p>
      <w:pPr>
        <w:pStyle w:val="2"/>
        <w:tabs>
          <w:tab w:val="left" w:pos="1548"/>
          <w:tab w:val="left" w:pos="2268"/>
          <w:tab w:val="left" w:pos="2988"/>
        </w:tabs>
        <w:wordWrap w:val="0"/>
        <w:spacing w:before="67"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pStyle w:val="2"/>
        <w:wordWrap w:val="0"/>
        <w:rPr>
          <w:sz w:val="26"/>
        </w:rPr>
      </w:pPr>
    </w:p>
    <w:p>
      <w:pPr>
        <w:pStyle w:val="2"/>
        <w:wordWrap w:val="0"/>
        <w:rPr>
          <w:sz w:val="22"/>
        </w:rPr>
      </w:pPr>
    </w:p>
    <w:p>
      <w:pPr>
        <w:pStyle w:val="2"/>
        <w:tabs>
          <w:tab w:val="left" w:pos="5508"/>
        </w:tabs>
        <w:wordWrap w:val="0"/>
        <w:ind w:left="227"/>
      </w:pPr>
      <w:r>
        <w:t>法人身份证复印件：</w:t>
      </w:r>
      <w:r>
        <w:tab/>
      </w:r>
      <w:r>
        <w:t>法人授权代表身份证复印件：</w:t>
      </w:r>
    </w:p>
    <w:p>
      <w:pPr>
        <w:wordWrap w:val="0"/>
        <w:sectPr>
          <w:pgSz w:w="11910" w:h="16840"/>
          <w:pgMar w:top="1340" w:right="840" w:bottom="960" w:left="1020" w:header="877" w:footer="770" w:gutter="0"/>
          <w:cols w:space="720" w:num="1"/>
        </w:sectPr>
      </w:pPr>
    </w:p>
    <w:p>
      <w:pPr>
        <w:pStyle w:val="2"/>
        <w:wordWrap w:val="0"/>
        <w:rPr>
          <w:sz w:val="20"/>
        </w:rPr>
      </w:pPr>
    </w:p>
    <w:p>
      <w:pPr>
        <w:pStyle w:val="2"/>
        <w:wordWrap w:val="0"/>
        <w:spacing w:before="2"/>
        <w:rPr>
          <w:sz w:val="15"/>
        </w:rPr>
      </w:pPr>
    </w:p>
    <w:p>
      <w:pPr>
        <w:wordWrap w:val="0"/>
        <w:spacing w:before="29" w:line="211" w:lineRule="auto"/>
        <w:ind w:left="227" w:right="539"/>
        <w:rPr>
          <w:rFonts w:ascii="Microsoft YaHei UI" w:hAnsi="Microsoft YaHei UI" w:eastAsia="Microsoft YaHei UI"/>
          <w:b/>
          <w:sz w:val="28"/>
        </w:rPr>
      </w:pPr>
      <w:r>
        <w:rPr>
          <w:rFonts w:hint="eastAsia" w:ascii="Microsoft YaHei UI" w:hAnsi="Microsoft YaHei UI" w:eastAsia="Microsoft YaHei UI"/>
          <w:b/>
          <w:sz w:val="28"/>
        </w:rPr>
        <w:t>三、供应商营业执照副本和税务登记证复印件（或“三证合一”的营业执照</w:t>
      </w:r>
      <w:r>
        <w:rPr>
          <w:rFonts w:hint="eastAsia" w:ascii="Microsoft YaHei UI" w:hAnsi="Microsoft YaHei UI" w:eastAsia="Microsoft YaHei UI"/>
          <w:b/>
          <w:spacing w:val="1"/>
          <w:sz w:val="28"/>
        </w:rPr>
        <w:t xml:space="preserve"> </w:t>
      </w:r>
      <w:r>
        <w:rPr>
          <w:rFonts w:hint="eastAsia" w:ascii="Microsoft YaHei UI" w:hAnsi="Microsoft YaHei UI" w:eastAsia="Microsoft YaHei UI"/>
          <w:b/>
          <w:w w:val="105"/>
          <w:sz w:val="28"/>
        </w:rPr>
        <w:t>或事业单位法人证书复印件）</w:t>
      </w:r>
    </w:p>
    <w:p>
      <w:pPr>
        <w:pStyle w:val="2"/>
        <w:wordWrap w:val="0"/>
        <w:spacing w:before="9"/>
        <w:rPr>
          <w:rFonts w:ascii="Microsoft YaHei UI"/>
          <w:b/>
          <w:sz w:val="22"/>
        </w:rPr>
      </w:pPr>
    </w:p>
    <w:p>
      <w:pPr>
        <w:wordWrap w:val="0"/>
        <w:ind w:left="227"/>
        <w:rPr>
          <w:rFonts w:ascii="Microsoft YaHei UI" w:eastAsia="Microsoft YaHei UI"/>
          <w:b/>
          <w:sz w:val="28"/>
        </w:rPr>
      </w:pPr>
      <w:r>
        <w:rPr>
          <w:rFonts w:hint="eastAsia" w:ascii="Microsoft YaHei UI" w:eastAsia="Microsoft YaHei UI"/>
          <w:b/>
          <w:sz w:val="28"/>
        </w:rPr>
        <w:t>四、无重大违法行为声明</w:t>
      </w:r>
    </w:p>
    <w:p>
      <w:pPr>
        <w:pStyle w:val="2"/>
        <w:wordWrap w:val="0"/>
        <w:spacing w:before="12"/>
        <w:rPr>
          <w:rFonts w:ascii="Microsoft YaHei UI"/>
          <w:b/>
          <w:sz w:val="18"/>
        </w:rPr>
      </w:pPr>
    </w:p>
    <w:p>
      <w:pPr>
        <w:wordWrap w:val="0"/>
        <w:ind w:right="179"/>
        <w:jc w:val="center"/>
        <w:rPr>
          <w:rFonts w:ascii="Microsoft YaHei UI" w:eastAsia="Microsoft YaHei UI"/>
          <w:b/>
          <w:sz w:val="32"/>
        </w:rPr>
      </w:pPr>
      <w:r>
        <w:rPr>
          <w:rFonts w:hint="eastAsia" w:ascii="Microsoft YaHei UI" w:eastAsia="Microsoft YaHei UI"/>
          <w:b/>
          <w:w w:val="95"/>
          <w:sz w:val="32"/>
        </w:rPr>
        <w:t>无重大违法行为声明</w:t>
      </w:r>
    </w:p>
    <w:p>
      <w:pPr>
        <w:pStyle w:val="2"/>
        <w:wordWrap w:val="0"/>
        <w:spacing w:before="13"/>
        <w:rPr>
          <w:rFonts w:ascii="Microsoft YaHei UI"/>
          <w:b/>
          <w:sz w:val="26"/>
        </w:rPr>
      </w:pPr>
    </w:p>
    <w:p>
      <w:pPr>
        <w:pStyle w:val="2"/>
        <w:wordWrap w:val="0"/>
        <w:spacing w:before="1"/>
        <w:ind w:left="227"/>
      </w:pPr>
      <w:r>
        <w:t>宿迁市中医院：</w:t>
      </w:r>
    </w:p>
    <w:p>
      <w:pPr>
        <w:pStyle w:val="2"/>
        <w:tabs>
          <w:tab w:val="left" w:pos="4820"/>
        </w:tabs>
        <w:wordWrap w:val="0"/>
        <w:spacing w:before="134" w:line="343" w:lineRule="auto"/>
        <w:ind w:left="227" w:right="402" w:firstLine="600"/>
      </w:pPr>
      <w:r>
        <w:t>我公司在参加编号为</w:t>
      </w:r>
      <w:r>
        <w:rPr>
          <w:rFonts w:ascii="Times New Roman" w:eastAsia="Times New Roman"/>
          <w:u w:val="single"/>
        </w:rPr>
        <w:tab/>
      </w:r>
      <w:r>
        <w:t>（划线处填写项目编号）的竞争性磋商活动前</w:t>
      </w:r>
      <w:r>
        <w:rPr>
          <w:spacing w:val="-1"/>
        </w:rPr>
        <w:t>3</w:t>
      </w:r>
      <w:r>
        <w:rPr>
          <w:spacing w:val="-60"/>
        </w:rPr>
        <w:t xml:space="preserve"> </w:t>
      </w:r>
      <w:r>
        <w:t>年内，在经营活动中没有重大违法记录。</w:t>
      </w:r>
    </w:p>
    <w:p>
      <w:pPr>
        <w:pStyle w:val="2"/>
        <w:wordWrap w:val="0"/>
        <w:spacing w:line="306" w:lineRule="exact"/>
        <w:ind w:left="828"/>
      </w:pPr>
      <w:r>
        <w:t>特此声明。</w:t>
      </w:r>
    </w:p>
    <w:p>
      <w:pPr>
        <w:pStyle w:val="2"/>
        <w:wordWrap w:val="0"/>
      </w:pPr>
    </w:p>
    <w:p>
      <w:pPr>
        <w:pStyle w:val="2"/>
        <w:wordWrap w:val="0"/>
        <w:spacing w:before="9"/>
        <w:rPr>
          <w:sz w:val="20"/>
        </w:rPr>
      </w:pPr>
    </w:p>
    <w:p>
      <w:pPr>
        <w:pStyle w:val="2"/>
        <w:wordWrap w:val="0"/>
        <w:spacing w:line="343" w:lineRule="auto"/>
        <w:ind w:left="227" w:right="403" w:firstLine="600"/>
      </w:pPr>
      <w:r>
        <w:rPr>
          <w:spacing w:val="-2"/>
        </w:rPr>
        <w:t>注：重大违法记录，是指供应商因违法经营受到刑事处罚或者责令停产停业、吊销许</w:t>
      </w:r>
      <w:r>
        <w:t>可证或者执照、较大数额罚款等行政处罚。</w:t>
      </w:r>
    </w:p>
    <w:p>
      <w:pPr>
        <w:pStyle w:val="2"/>
        <w:wordWrap w:val="0"/>
      </w:pPr>
    </w:p>
    <w:p>
      <w:pPr>
        <w:pStyle w:val="2"/>
        <w:wordWrap w:val="0"/>
      </w:pPr>
    </w:p>
    <w:p>
      <w:pPr>
        <w:pStyle w:val="2"/>
        <w:wordWrap w:val="0"/>
      </w:pPr>
    </w:p>
    <w:p>
      <w:pPr>
        <w:pStyle w:val="2"/>
        <w:tabs>
          <w:tab w:val="left" w:pos="4363"/>
        </w:tabs>
        <w:wordWrap w:val="0"/>
        <w:spacing w:before="17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3"/>
        <w:rPr>
          <w:rFonts w:ascii="Times New Roman"/>
          <w:sz w:val="23"/>
        </w:rPr>
      </w:pPr>
    </w:p>
    <w:p>
      <w:pPr>
        <w:pStyle w:val="2"/>
        <w:tabs>
          <w:tab w:val="left" w:pos="1548"/>
          <w:tab w:val="left" w:pos="2268"/>
          <w:tab w:val="left" w:pos="2988"/>
        </w:tabs>
        <w:wordWrap w:val="0"/>
        <w:spacing w:before="66"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wordWrap w:val="0"/>
        <w:spacing w:line="268" w:lineRule="auto"/>
        <w:ind w:right="2508"/>
        <w:rPr>
          <w:sz w:val="28"/>
        </w:rPr>
      </w:pPr>
      <w:r>
        <w:rPr>
          <w:rFonts w:hint="eastAsia" w:ascii="Microsoft YaHei UI" w:eastAsia="Microsoft YaHei UI"/>
          <w:b/>
          <w:sz w:val="28"/>
        </w:rPr>
        <w:t>五、医疗器械注册证、生产许可证、经营许可证、授权书等</w:t>
      </w:r>
      <w:r>
        <w:rPr>
          <w:sz w:val="28"/>
        </w:rPr>
        <w:t>按照磋商文件要求提供</w:t>
      </w:r>
    </w:p>
    <w:p>
      <w:pPr>
        <w:wordWrap w:val="0"/>
        <w:spacing w:line="268" w:lineRule="auto"/>
        <w:rPr>
          <w:sz w:val="28"/>
        </w:rPr>
        <w:sectPr>
          <w:pgSz w:w="11910" w:h="16840"/>
          <w:pgMar w:top="1340" w:right="840" w:bottom="960" w:left="1020" w:header="877" w:footer="770" w:gutter="0"/>
          <w:cols w:space="720" w:num="1"/>
        </w:sectPr>
      </w:pPr>
    </w:p>
    <w:p>
      <w:pPr>
        <w:pStyle w:val="2"/>
        <w:wordWrap w:val="0"/>
        <w:spacing w:before="7"/>
        <w:rPr>
          <w:sz w:val="15"/>
        </w:rPr>
      </w:pPr>
    </w:p>
    <w:p>
      <w:pPr>
        <w:wordWrap w:val="0"/>
        <w:spacing w:before="45" w:after="22" w:line="242" w:lineRule="auto"/>
        <w:ind w:left="6349" w:right="6366"/>
        <w:jc w:val="center"/>
        <w:rPr>
          <w:rFonts w:hint="eastAsia" w:eastAsiaTheme="minorEastAsia"/>
          <w:spacing w:val="-1"/>
          <w:sz w:val="18"/>
        </w:rPr>
      </w:pPr>
      <w:r>
        <w:rPr>
          <w:rFonts w:hint="eastAsia" w:eastAsiaTheme="minorEastAsia"/>
          <w:spacing w:val="-1"/>
          <w:sz w:val="18"/>
        </w:rPr>
        <w:t>宿迁市中医院</w:t>
      </w:r>
    </w:p>
    <w:p>
      <w:pPr>
        <w:wordWrap w:val="0"/>
        <w:spacing w:before="45" w:after="22" w:line="242" w:lineRule="auto"/>
        <w:ind w:left="6349" w:right="6366"/>
        <w:jc w:val="center"/>
        <w:rPr>
          <w:rFonts w:hint="eastAsia" w:eastAsiaTheme="minorEastAsia"/>
          <w:sz w:val="18"/>
        </w:rPr>
      </w:pPr>
    </w:p>
    <w:p>
      <w:pPr>
        <w:pStyle w:val="2"/>
        <w:wordWrap w:val="0"/>
        <w:spacing w:line="20" w:lineRule="exact"/>
        <w:ind w:left="111"/>
        <w:rPr>
          <w:sz w:val="2"/>
        </w:rPr>
      </w:pPr>
      <w:r>
        <w:rPr>
          <w:sz w:val="2"/>
        </w:rPr>
        <w:pict>
          <v:group id="_x0000_s2079" o:spid="_x0000_s2079" o:spt="203" style="height:0.75pt;width:723pt;" coordsize="14460,15">
            <o:lock v:ext="edit"/>
            <v:rect id="_x0000_s2080" o:spid="_x0000_s2080" o:spt="1" style="position:absolute;left:0;top:0;height:15;width:14460;" fillcolor="#000000" filled="t" stroked="f" coordsize="21600,21600">
              <v:path/>
              <v:fill on="t" focussize="0,0"/>
              <v:stroke on="f"/>
              <v:imagedata o:title=""/>
              <o:lock v:ext="edit"/>
            </v:rect>
            <w10:wrap type="none"/>
            <w10:anchorlock/>
          </v:group>
        </w:pict>
      </w:r>
    </w:p>
    <w:p>
      <w:pPr>
        <w:tabs>
          <w:tab w:val="left" w:pos="2207"/>
        </w:tabs>
        <w:wordWrap w:val="0"/>
        <w:spacing w:before="54"/>
        <w:ind w:right="134"/>
        <w:jc w:val="center"/>
        <w:rPr>
          <w:rFonts w:ascii="Microsoft YaHei UI" w:eastAsia="Microsoft YaHei UI"/>
          <w:b/>
          <w:sz w:val="44"/>
        </w:rPr>
      </w:pPr>
      <w:r>
        <w:rPr>
          <w:rFonts w:hint="eastAsia" w:ascii="Microsoft YaHei UI" w:eastAsia="Microsoft YaHei UI"/>
          <w:b/>
          <w:sz w:val="44"/>
        </w:rPr>
        <w:t>第二部分</w:t>
      </w:r>
      <w:r>
        <w:rPr>
          <w:rFonts w:hint="eastAsia" w:ascii="Microsoft YaHei UI" w:eastAsia="Microsoft YaHei UI"/>
          <w:b/>
          <w:sz w:val="44"/>
        </w:rPr>
        <w:tab/>
      </w:r>
      <w:r>
        <w:rPr>
          <w:rFonts w:hint="eastAsia" w:ascii="Microsoft YaHei UI" w:eastAsia="Microsoft YaHei UI"/>
          <w:b/>
          <w:w w:val="95"/>
          <w:sz w:val="44"/>
        </w:rPr>
        <w:t>响应报价部分</w:t>
      </w:r>
    </w:p>
    <w:p>
      <w:pPr>
        <w:wordWrap w:val="0"/>
        <w:jc w:val="center"/>
        <w:rPr>
          <w:rFonts w:ascii="Microsoft YaHei UI" w:eastAsia="Microsoft YaHei UI"/>
          <w:sz w:val="44"/>
        </w:rPr>
        <w:sectPr>
          <w:headerReference r:id="rId13" w:type="default"/>
          <w:footerReference r:id="rId14" w:type="default"/>
          <w:pgSz w:w="16840" w:h="11910" w:orient="landscape"/>
          <w:pgMar w:top="800" w:right="1260" w:bottom="960" w:left="880" w:header="0" w:footer="771" w:gutter="0"/>
          <w:cols w:space="720" w:num="1"/>
        </w:sectPr>
      </w:pPr>
    </w:p>
    <w:p>
      <w:pPr>
        <w:wordWrap w:val="0"/>
        <w:spacing w:before="62"/>
        <w:ind w:left="140"/>
        <w:rPr>
          <w:rFonts w:ascii="Microsoft YaHei UI" w:eastAsia="Microsoft YaHei UI"/>
          <w:b/>
          <w:sz w:val="28"/>
        </w:rPr>
      </w:pPr>
      <w:r>
        <w:rPr>
          <w:rFonts w:hint="eastAsia" w:ascii="Microsoft YaHei UI" w:eastAsia="Microsoft YaHei UI"/>
          <w:b/>
          <w:sz w:val="28"/>
        </w:rPr>
        <w:t>六、报价一览表</w:t>
      </w:r>
    </w:p>
    <w:p>
      <w:pPr>
        <w:pStyle w:val="2"/>
        <w:wordWrap w:val="0"/>
        <w:spacing w:before="3"/>
        <w:rPr>
          <w:rFonts w:ascii="Microsoft YaHei UI"/>
          <w:b/>
          <w:sz w:val="23"/>
        </w:rPr>
      </w:pPr>
      <w:r>
        <w:br w:type="column"/>
      </w:r>
    </w:p>
    <w:p>
      <w:pPr>
        <w:wordWrap w:val="0"/>
        <w:ind w:left="140"/>
        <w:rPr>
          <w:rFonts w:ascii="Microsoft YaHei UI" w:eastAsia="Microsoft YaHei UI"/>
          <w:b/>
          <w:sz w:val="32"/>
        </w:rPr>
      </w:pPr>
      <w:r>
        <w:pict>
          <v:shape id="_x0000_s2078" o:spid="_x0000_s2078" o:spt="202" type="#_x0000_t202" style="position:absolute;left:0pt;margin-left:49.2pt;margin-top:24.65pt;height:164.35pt;width:723.95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3375"/>
                    <w:gridCol w:w="850"/>
                    <w:gridCol w:w="1200"/>
                    <w:gridCol w:w="814"/>
                    <w:gridCol w:w="939"/>
                    <w:gridCol w:w="1277"/>
                    <w:gridCol w:w="850"/>
                    <w:gridCol w:w="992"/>
                    <w:gridCol w:w="130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25" w:type="dxa"/>
                      </w:tcPr>
                      <w:p>
                        <w:pPr>
                          <w:pStyle w:val="15"/>
                          <w:spacing w:before="180"/>
                          <w:ind w:left="251" w:right="244"/>
                          <w:jc w:val="center"/>
                          <w:rPr>
                            <w:sz w:val="24"/>
                          </w:rPr>
                        </w:pPr>
                        <w:r>
                          <w:rPr>
                            <w:sz w:val="24"/>
                          </w:rPr>
                          <w:t>序号</w:t>
                        </w:r>
                      </w:p>
                    </w:tc>
                    <w:tc>
                      <w:tcPr>
                        <w:tcW w:w="3375" w:type="dxa"/>
                      </w:tcPr>
                      <w:p>
                        <w:pPr>
                          <w:pStyle w:val="15"/>
                          <w:spacing w:before="180"/>
                          <w:ind w:left="1187" w:right="1178"/>
                          <w:jc w:val="center"/>
                          <w:rPr>
                            <w:sz w:val="24"/>
                          </w:rPr>
                        </w:pPr>
                        <w:r>
                          <w:rPr>
                            <w:sz w:val="24"/>
                          </w:rPr>
                          <w:t>产品名称</w:t>
                        </w:r>
                      </w:p>
                    </w:tc>
                    <w:tc>
                      <w:tcPr>
                        <w:tcW w:w="850" w:type="dxa"/>
                      </w:tcPr>
                      <w:p>
                        <w:pPr>
                          <w:pStyle w:val="15"/>
                          <w:spacing w:before="180"/>
                          <w:ind w:left="184"/>
                          <w:rPr>
                            <w:sz w:val="24"/>
                          </w:rPr>
                        </w:pPr>
                        <w:r>
                          <w:rPr>
                            <w:sz w:val="24"/>
                          </w:rPr>
                          <w:t>产地</w:t>
                        </w:r>
                      </w:p>
                    </w:tc>
                    <w:tc>
                      <w:tcPr>
                        <w:tcW w:w="1200" w:type="dxa"/>
                      </w:tcPr>
                      <w:p>
                        <w:pPr>
                          <w:pStyle w:val="15"/>
                          <w:spacing w:before="180"/>
                          <w:ind w:left="359"/>
                          <w:rPr>
                            <w:sz w:val="24"/>
                          </w:rPr>
                        </w:pPr>
                        <w:r>
                          <w:rPr>
                            <w:sz w:val="24"/>
                          </w:rPr>
                          <w:t>品牌</w:t>
                        </w:r>
                      </w:p>
                    </w:tc>
                    <w:tc>
                      <w:tcPr>
                        <w:tcW w:w="1753" w:type="dxa"/>
                        <w:gridSpan w:val="2"/>
                      </w:tcPr>
                      <w:p>
                        <w:pPr>
                          <w:pStyle w:val="15"/>
                          <w:spacing w:before="180"/>
                          <w:ind w:left="395"/>
                          <w:rPr>
                            <w:sz w:val="24"/>
                          </w:rPr>
                        </w:pPr>
                        <w:r>
                          <w:rPr>
                            <w:sz w:val="24"/>
                          </w:rPr>
                          <w:t>规格型号</w:t>
                        </w:r>
                      </w:p>
                    </w:tc>
                    <w:tc>
                      <w:tcPr>
                        <w:tcW w:w="1277" w:type="dxa"/>
                      </w:tcPr>
                      <w:p>
                        <w:pPr>
                          <w:pStyle w:val="15"/>
                          <w:spacing w:before="180"/>
                          <w:ind w:left="109" w:right="-29"/>
                          <w:rPr>
                            <w:sz w:val="24"/>
                          </w:rPr>
                        </w:pPr>
                        <w:r>
                          <w:rPr>
                            <w:spacing w:val="-4"/>
                            <w:sz w:val="24"/>
                          </w:rPr>
                          <w:t>单价（元）</w:t>
                        </w:r>
                      </w:p>
                    </w:tc>
                    <w:tc>
                      <w:tcPr>
                        <w:tcW w:w="850" w:type="dxa"/>
                      </w:tcPr>
                      <w:p>
                        <w:pPr>
                          <w:pStyle w:val="15"/>
                          <w:spacing w:before="180"/>
                          <w:ind w:left="183"/>
                          <w:rPr>
                            <w:sz w:val="24"/>
                          </w:rPr>
                        </w:pPr>
                        <w:r>
                          <w:rPr>
                            <w:sz w:val="24"/>
                          </w:rPr>
                          <w:t>数量</w:t>
                        </w:r>
                      </w:p>
                    </w:tc>
                    <w:tc>
                      <w:tcPr>
                        <w:tcW w:w="992" w:type="dxa"/>
                      </w:tcPr>
                      <w:p>
                        <w:pPr>
                          <w:pStyle w:val="15"/>
                          <w:spacing w:before="180"/>
                          <w:ind w:left="252"/>
                          <w:rPr>
                            <w:sz w:val="24"/>
                          </w:rPr>
                        </w:pPr>
                        <w:r>
                          <w:rPr>
                            <w:sz w:val="24"/>
                          </w:rPr>
                          <w:t>单位</w:t>
                        </w:r>
                      </w:p>
                    </w:tc>
                    <w:tc>
                      <w:tcPr>
                        <w:tcW w:w="1301" w:type="dxa"/>
                      </w:tcPr>
                      <w:p>
                        <w:pPr>
                          <w:pStyle w:val="15"/>
                          <w:spacing w:before="180"/>
                          <w:ind w:left="108" w:right="-29"/>
                          <w:rPr>
                            <w:sz w:val="24"/>
                          </w:rPr>
                        </w:pPr>
                        <w:r>
                          <w:rPr>
                            <w:sz w:val="24"/>
                          </w:rPr>
                          <w:t>总价（元）</w:t>
                        </w:r>
                      </w:p>
                    </w:tc>
                    <w:tc>
                      <w:tcPr>
                        <w:tcW w:w="1843" w:type="dxa"/>
                      </w:tcPr>
                      <w:p>
                        <w:pPr>
                          <w:pStyle w:val="15"/>
                          <w:spacing w:before="180"/>
                          <w:ind w:left="659" w:right="653"/>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25" w:type="dxa"/>
                      </w:tcPr>
                      <w:p>
                        <w:pPr>
                          <w:pStyle w:val="15"/>
                          <w:spacing w:before="113" w:line="306" w:lineRule="exact"/>
                          <w:ind w:left="7"/>
                          <w:jc w:val="center"/>
                          <w:rPr>
                            <w:sz w:val="24"/>
                          </w:rPr>
                        </w:pPr>
                        <w:r>
                          <w:rPr>
                            <w:sz w:val="24"/>
                          </w:rPr>
                          <w:t>1</w:t>
                        </w:r>
                      </w:p>
                    </w:tc>
                    <w:tc>
                      <w:tcPr>
                        <w:tcW w:w="3375" w:type="dxa"/>
                      </w:tcPr>
                      <w:p>
                        <w:pPr>
                          <w:pStyle w:val="15"/>
                          <w:rPr>
                            <w:rFonts w:ascii="Times New Roman"/>
                            <w:sz w:val="24"/>
                          </w:rPr>
                        </w:pPr>
                      </w:p>
                    </w:tc>
                    <w:tc>
                      <w:tcPr>
                        <w:tcW w:w="850" w:type="dxa"/>
                      </w:tcPr>
                      <w:p>
                        <w:pPr>
                          <w:pStyle w:val="15"/>
                          <w:rPr>
                            <w:rFonts w:ascii="Times New Roman"/>
                            <w:sz w:val="24"/>
                          </w:rPr>
                        </w:pPr>
                      </w:p>
                    </w:tc>
                    <w:tc>
                      <w:tcPr>
                        <w:tcW w:w="1200" w:type="dxa"/>
                      </w:tcPr>
                      <w:p>
                        <w:pPr>
                          <w:pStyle w:val="15"/>
                          <w:rPr>
                            <w:rFonts w:ascii="Times New Roman"/>
                            <w:sz w:val="24"/>
                          </w:rPr>
                        </w:pPr>
                      </w:p>
                    </w:tc>
                    <w:tc>
                      <w:tcPr>
                        <w:tcW w:w="1753" w:type="dxa"/>
                        <w:gridSpan w:val="2"/>
                      </w:tcPr>
                      <w:p>
                        <w:pPr>
                          <w:pStyle w:val="15"/>
                          <w:rPr>
                            <w:rFonts w:ascii="Times New Roman"/>
                            <w:sz w:val="24"/>
                          </w:rPr>
                        </w:pPr>
                      </w:p>
                    </w:tc>
                    <w:tc>
                      <w:tcPr>
                        <w:tcW w:w="1277" w:type="dxa"/>
                      </w:tcPr>
                      <w:p>
                        <w:pPr>
                          <w:pStyle w:val="15"/>
                          <w:rPr>
                            <w:rFonts w:ascii="Times New Roman"/>
                            <w:sz w:val="24"/>
                          </w:rPr>
                        </w:pPr>
                      </w:p>
                    </w:tc>
                    <w:tc>
                      <w:tcPr>
                        <w:tcW w:w="850" w:type="dxa"/>
                      </w:tcPr>
                      <w:p>
                        <w:pPr>
                          <w:pStyle w:val="15"/>
                          <w:rPr>
                            <w:rFonts w:ascii="Times New Roman"/>
                            <w:sz w:val="24"/>
                          </w:rPr>
                        </w:pPr>
                      </w:p>
                    </w:tc>
                    <w:tc>
                      <w:tcPr>
                        <w:tcW w:w="992" w:type="dxa"/>
                      </w:tcPr>
                      <w:p>
                        <w:pPr>
                          <w:pStyle w:val="15"/>
                          <w:rPr>
                            <w:rFonts w:ascii="Times New Roman"/>
                            <w:sz w:val="24"/>
                          </w:rPr>
                        </w:pPr>
                      </w:p>
                    </w:tc>
                    <w:tc>
                      <w:tcPr>
                        <w:tcW w:w="1301" w:type="dxa"/>
                      </w:tcPr>
                      <w:p>
                        <w:pPr>
                          <w:pStyle w:val="15"/>
                          <w:rPr>
                            <w:rFonts w:ascii="Times New Roman"/>
                            <w:sz w:val="24"/>
                          </w:rPr>
                        </w:pPr>
                      </w:p>
                    </w:tc>
                    <w:tc>
                      <w:tcPr>
                        <w:tcW w:w="1843"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25" w:type="dxa"/>
                      </w:tcPr>
                      <w:p>
                        <w:pPr>
                          <w:pStyle w:val="15"/>
                          <w:spacing w:before="112"/>
                          <w:ind w:left="7"/>
                          <w:jc w:val="center"/>
                          <w:rPr>
                            <w:sz w:val="24"/>
                          </w:rPr>
                        </w:pPr>
                        <w:r>
                          <w:rPr>
                            <w:sz w:val="24"/>
                          </w:rPr>
                          <w:t>2</w:t>
                        </w:r>
                      </w:p>
                    </w:tc>
                    <w:tc>
                      <w:tcPr>
                        <w:tcW w:w="3375" w:type="dxa"/>
                      </w:tcPr>
                      <w:p>
                        <w:pPr>
                          <w:pStyle w:val="15"/>
                          <w:rPr>
                            <w:rFonts w:ascii="Times New Roman"/>
                            <w:sz w:val="24"/>
                          </w:rPr>
                        </w:pPr>
                      </w:p>
                    </w:tc>
                    <w:tc>
                      <w:tcPr>
                        <w:tcW w:w="850" w:type="dxa"/>
                      </w:tcPr>
                      <w:p>
                        <w:pPr>
                          <w:pStyle w:val="15"/>
                          <w:rPr>
                            <w:rFonts w:ascii="Times New Roman"/>
                            <w:sz w:val="24"/>
                          </w:rPr>
                        </w:pPr>
                      </w:p>
                    </w:tc>
                    <w:tc>
                      <w:tcPr>
                        <w:tcW w:w="1200" w:type="dxa"/>
                      </w:tcPr>
                      <w:p>
                        <w:pPr>
                          <w:pStyle w:val="15"/>
                          <w:rPr>
                            <w:rFonts w:ascii="Times New Roman"/>
                            <w:sz w:val="24"/>
                          </w:rPr>
                        </w:pPr>
                      </w:p>
                    </w:tc>
                    <w:tc>
                      <w:tcPr>
                        <w:tcW w:w="1753" w:type="dxa"/>
                        <w:gridSpan w:val="2"/>
                      </w:tcPr>
                      <w:p>
                        <w:pPr>
                          <w:pStyle w:val="15"/>
                          <w:rPr>
                            <w:rFonts w:ascii="Times New Roman"/>
                            <w:sz w:val="24"/>
                          </w:rPr>
                        </w:pPr>
                      </w:p>
                    </w:tc>
                    <w:tc>
                      <w:tcPr>
                        <w:tcW w:w="1277" w:type="dxa"/>
                      </w:tcPr>
                      <w:p>
                        <w:pPr>
                          <w:pStyle w:val="15"/>
                          <w:rPr>
                            <w:rFonts w:ascii="Times New Roman"/>
                            <w:sz w:val="24"/>
                          </w:rPr>
                        </w:pPr>
                      </w:p>
                    </w:tc>
                    <w:tc>
                      <w:tcPr>
                        <w:tcW w:w="850" w:type="dxa"/>
                      </w:tcPr>
                      <w:p>
                        <w:pPr>
                          <w:pStyle w:val="15"/>
                          <w:rPr>
                            <w:rFonts w:ascii="Times New Roman"/>
                            <w:sz w:val="24"/>
                          </w:rPr>
                        </w:pPr>
                      </w:p>
                    </w:tc>
                    <w:tc>
                      <w:tcPr>
                        <w:tcW w:w="992" w:type="dxa"/>
                      </w:tcPr>
                      <w:p>
                        <w:pPr>
                          <w:pStyle w:val="15"/>
                          <w:rPr>
                            <w:rFonts w:ascii="Times New Roman"/>
                            <w:sz w:val="24"/>
                          </w:rPr>
                        </w:pPr>
                      </w:p>
                    </w:tc>
                    <w:tc>
                      <w:tcPr>
                        <w:tcW w:w="1301" w:type="dxa"/>
                      </w:tcPr>
                      <w:p>
                        <w:pPr>
                          <w:pStyle w:val="15"/>
                          <w:rPr>
                            <w:rFonts w:ascii="Times New Roman"/>
                            <w:sz w:val="24"/>
                          </w:rPr>
                        </w:pPr>
                      </w:p>
                    </w:tc>
                    <w:tc>
                      <w:tcPr>
                        <w:tcW w:w="1843"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25" w:type="dxa"/>
                      </w:tcPr>
                      <w:p>
                        <w:pPr>
                          <w:pStyle w:val="15"/>
                          <w:spacing w:before="112" w:line="306" w:lineRule="exact"/>
                          <w:ind w:left="7"/>
                          <w:jc w:val="center"/>
                          <w:rPr>
                            <w:sz w:val="24"/>
                          </w:rPr>
                        </w:pPr>
                        <w:r>
                          <w:rPr>
                            <w:sz w:val="24"/>
                          </w:rPr>
                          <w:t>3</w:t>
                        </w:r>
                      </w:p>
                    </w:tc>
                    <w:tc>
                      <w:tcPr>
                        <w:tcW w:w="3375" w:type="dxa"/>
                      </w:tcPr>
                      <w:p>
                        <w:pPr>
                          <w:pStyle w:val="15"/>
                          <w:rPr>
                            <w:rFonts w:ascii="Times New Roman"/>
                            <w:sz w:val="24"/>
                          </w:rPr>
                        </w:pPr>
                      </w:p>
                    </w:tc>
                    <w:tc>
                      <w:tcPr>
                        <w:tcW w:w="850" w:type="dxa"/>
                      </w:tcPr>
                      <w:p>
                        <w:pPr>
                          <w:pStyle w:val="15"/>
                          <w:rPr>
                            <w:rFonts w:ascii="Times New Roman"/>
                            <w:sz w:val="24"/>
                          </w:rPr>
                        </w:pPr>
                      </w:p>
                    </w:tc>
                    <w:tc>
                      <w:tcPr>
                        <w:tcW w:w="1200" w:type="dxa"/>
                      </w:tcPr>
                      <w:p>
                        <w:pPr>
                          <w:pStyle w:val="15"/>
                          <w:rPr>
                            <w:rFonts w:ascii="Times New Roman"/>
                            <w:sz w:val="24"/>
                          </w:rPr>
                        </w:pPr>
                      </w:p>
                    </w:tc>
                    <w:tc>
                      <w:tcPr>
                        <w:tcW w:w="1753" w:type="dxa"/>
                        <w:gridSpan w:val="2"/>
                      </w:tcPr>
                      <w:p>
                        <w:pPr>
                          <w:pStyle w:val="15"/>
                          <w:rPr>
                            <w:rFonts w:ascii="Times New Roman"/>
                            <w:sz w:val="24"/>
                          </w:rPr>
                        </w:pPr>
                      </w:p>
                    </w:tc>
                    <w:tc>
                      <w:tcPr>
                        <w:tcW w:w="1277" w:type="dxa"/>
                      </w:tcPr>
                      <w:p>
                        <w:pPr>
                          <w:pStyle w:val="15"/>
                          <w:rPr>
                            <w:rFonts w:ascii="Times New Roman"/>
                            <w:sz w:val="24"/>
                          </w:rPr>
                        </w:pPr>
                      </w:p>
                    </w:tc>
                    <w:tc>
                      <w:tcPr>
                        <w:tcW w:w="850" w:type="dxa"/>
                      </w:tcPr>
                      <w:p>
                        <w:pPr>
                          <w:pStyle w:val="15"/>
                          <w:rPr>
                            <w:rFonts w:ascii="Times New Roman"/>
                            <w:sz w:val="24"/>
                          </w:rPr>
                        </w:pPr>
                      </w:p>
                    </w:tc>
                    <w:tc>
                      <w:tcPr>
                        <w:tcW w:w="992" w:type="dxa"/>
                      </w:tcPr>
                      <w:p>
                        <w:pPr>
                          <w:pStyle w:val="15"/>
                          <w:rPr>
                            <w:rFonts w:ascii="Times New Roman"/>
                            <w:sz w:val="24"/>
                          </w:rPr>
                        </w:pPr>
                      </w:p>
                    </w:tc>
                    <w:tc>
                      <w:tcPr>
                        <w:tcW w:w="1301" w:type="dxa"/>
                      </w:tcPr>
                      <w:p>
                        <w:pPr>
                          <w:pStyle w:val="15"/>
                          <w:rPr>
                            <w:rFonts w:ascii="Times New Roman"/>
                            <w:sz w:val="24"/>
                          </w:rPr>
                        </w:pPr>
                      </w:p>
                    </w:tc>
                    <w:tc>
                      <w:tcPr>
                        <w:tcW w:w="1843"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025" w:type="dxa"/>
                      </w:tcPr>
                      <w:p>
                        <w:pPr>
                          <w:pStyle w:val="15"/>
                          <w:spacing w:before="112"/>
                          <w:ind w:left="107"/>
                          <w:rPr>
                            <w:sz w:val="24"/>
                          </w:rPr>
                        </w:pPr>
                        <w:r>
                          <w:rPr>
                            <w:sz w:val="24"/>
                          </w:rPr>
                          <w:t>报价</w:t>
                        </w:r>
                      </w:p>
                      <w:p>
                        <w:pPr>
                          <w:pStyle w:val="15"/>
                          <w:spacing w:before="134" w:line="306" w:lineRule="exact"/>
                          <w:ind w:left="107"/>
                          <w:rPr>
                            <w:sz w:val="24"/>
                          </w:rPr>
                        </w:pPr>
                        <w:r>
                          <w:rPr>
                            <w:sz w:val="24"/>
                          </w:rPr>
                          <w:t>总计</w:t>
                        </w:r>
                      </w:p>
                    </w:tc>
                    <w:tc>
                      <w:tcPr>
                        <w:tcW w:w="13441" w:type="dxa"/>
                        <w:gridSpan w:val="10"/>
                      </w:tcPr>
                      <w:p>
                        <w:pPr>
                          <w:pStyle w:val="15"/>
                          <w:tabs>
                            <w:tab w:val="left" w:pos="5138"/>
                          </w:tabs>
                          <w:spacing w:before="112"/>
                          <w:ind w:left="107"/>
                          <w:rPr>
                            <w:sz w:val="24"/>
                          </w:rPr>
                        </w:pPr>
                        <w:r>
                          <w:rPr>
                            <w:sz w:val="24"/>
                          </w:rPr>
                          <w:t>人民币（小写）:</w:t>
                        </w:r>
                        <w:r>
                          <w:rPr>
                            <w:sz w:val="24"/>
                            <w:u w:val="single"/>
                          </w:rPr>
                          <w:tab/>
                        </w:r>
                        <w:r>
                          <w:rPr>
                            <w:sz w:val="24"/>
                          </w:rPr>
                          <w:t>元</w:t>
                        </w:r>
                      </w:p>
                      <w:p>
                        <w:pPr>
                          <w:pStyle w:val="15"/>
                          <w:tabs>
                            <w:tab w:val="left" w:pos="2627"/>
                            <w:tab w:val="left" w:pos="3588"/>
                            <w:tab w:val="left" w:pos="4548"/>
                            <w:tab w:val="left" w:pos="5508"/>
                            <w:tab w:val="left" w:pos="6468"/>
                            <w:tab w:val="left" w:pos="7428"/>
                            <w:tab w:val="left" w:pos="8388"/>
                            <w:tab w:val="left" w:pos="9348"/>
                          </w:tabs>
                          <w:spacing w:before="134" w:line="306" w:lineRule="exact"/>
                          <w:ind w:left="107"/>
                          <w:rPr>
                            <w:sz w:val="24"/>
                          </w:rPr>
                        </w:pPr>
                        <w:r>
                          <w:rPr>
                            <w:sz w:val="24"/>
                          </w:rPr>
                          <w:t>人民币（大写）:</w:t>
                        </w:r>
                        <w:r>
                          <w:rPr>
                            <w:rFonts w:ascii="Times New Roman" w:eastAsia="Times New Roman"/>
                            <w:sz w:val="24"/>
                            <w:u w:val="single"/>
                          </w:rPr>
                          <w:tab/>
                        </w:r>
                        <w:r>
                          <w:rPr>
                            <w:sz w:val="24"/>
                          </w:rPr>
                          <w:t>拾</w:t>
                        </w:r>
                        <w:r>
                          <w:rPr>
                            <w:rFonts w:ascii="Times New Roman" w:eastAsia="Times New Roman"/>
                            <w:sz w:val="24"/>
                            <w:u w:val="single"/>
                          </w:rPr>
                          <w:tab/>
                        </w:r>
                        <w:r>
                          <w:rPr>
                            <w:sz w:val="24"/>
                          </w:rPr>
                          <w:t>万</w:t>
                        </w:r>
                        <w:r>
                          <w:rPr>
                            <w:rFonts w:ascii="Times New Roman" w:eastAsia="Times New Roman"/>
                            <w:sz w:val="24"/>
                            <w:u w:val="single"/>
                          </w:rPr>
                          <w:tab/>
                        </w:r>
                        <w:r>
                          <w:rPr>
                            <w:sz w:val="24"/>
                          </w:rPr>
                          <w:t>仟</w:t>
                        </w:r>
                        <w:r>
                          <w:rPr>
                            <w:rFonts w:ascii="Times New Roman" w:eastAsia="Times New Roman"/>
                            <w:sz w:val="24"/>
                            <w:u w:val="single"/>
                          </w:rPr>
                          <w:tab/>
                        </w:r>
                        <w:r>
                          <w:rPr>
                            <w:sz w:val="24"/>
                          </w:rPr>
                          <w:t>佰</w:t>
                        </w:r>
                        <w:r>
                          <w:rPr>
                            <w:rFonts w:ascii="Times New Roman" w:eastAsia="Times New Roman"/>
                            <w:sz w:val="24"/>
                            <w:u w:val="single"/>
                          </w:rPr>
                          <w:tab/>
                        </w:r>
                        <w:r>
                          <w:rPr>
                            <w:sz w:val="24"/>
                          </w:rPr>
                          <w:t>拾</w:t>
                        </w:r>
                        <w:r>
                          <w:rPr>
                            <w:rFonts w:ascii="Times New Roman" w:eastAsia="Times New Roman"/>
                            <w:sz w:val="24"/>
                            <w:u w:val="single"/>
                          </w:rPr>
                          <w:tab/>
                        </w:r>
                        <w:r>
                          <w:rPr>
                            <w:sz w:val="24"/>
                          </w:rPr>
                          <w:t>圆</w:t>
                        </w:r>
                        <w:r>
                          <w:rPr>
                            <w:rFonts w:ascii="Times New Roman" w:eastAsia="Times New Roman"/>
                            <w:sz w:val="24"/>
                            <w:u w:val="single"/>
                          </w:rPr>
                          <w:tab/>
                        </w:r>
                        <w:r>
                          <w:rPr>
                            <w:sz w:val="24"/>
                          </w:rPr>
                          <w:t>角</w:t>
                        </w:r>
                        <w:r>
                          <w:rPr>
                            <w:rFonts w:ascii="Times New Roman" w:eastAsia="Times New Roman"/>
                            <w:sz w:val="24"/>
                            <w:u w:val="single"/>
                          </w:rPr>
                          <w:tab/>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264" w:type="dxa"/>
                        <w:gridSpan w:val="5"/>
                      </w:tcPr>
                      <w:p>
                        <w:pPr>
                          <w:pStyle w:val="15"/>
                          <w:tabs>
                            <w:tab w:val="left" w:pos="5251"/>
                          </w:tabs>
                          <w:spacing w:before="112"/>
                          <w:ind w:left="1771"/>
                          <w:rPr>
                            <w:sz w:val="24"/>
                          </w:rPr>
                        </w:pPr>
                        <w:r>
                          <w:rPr>
                            <w:sz w:val="24"/>
                          </w:rPr>
                          <w:t>质保期：提供免费整机质保</w:t>
                        </w:r>
                        <w:r>
                          <w:rPr>
                            <w:rFonts w:ascii="Times New Roman" w:eastAsia="Times New Roman"/>
                            <w:sz w:val="24"/>
                            <w:u w:val="single"/>
                          </w:rPr>
                          <w:tab/>
                        </w:r>
                        <w:r>
                          <w:rPr>
                            <w:sz w:val="24"/>
                          </w:rPr>
                          <w:t>年</w:t>
                        </w:r>
                      </w:p>
                    </w:tc>
                    <w:tc>
                      <w:tcPr>
                        <w:tcW w:w="7202" w:type="dxa"/>
                        <w:gridSpan w:val="6"/>
                      </w:tcPr>
                      <w:p>
                        <w:pPr>
                          <w:pStyle w:val="15"/>
                          <w:tabs>
                            <w:tab w:val="left" w:pos="4440"/>
                          </w:tabs>
                          <w:spacing w:before="112"/>
                          <w:ind w:left="1799"/>
                          <w:rPr>
                            <w:sz w:val="24"/>
                          </w:rPr>
                        </w:pPr>
                        <w:r>
                          <w:rPr>
                            <w:sz w:val="24"/>
                          </w:rPr>
                          <w:t>交货期:合同签订后</w:t>
                        </w:r>
                        <w:r>
                          <w:rPr>
                            <w:rFonts w:ascii="Times New Roman" w:eastAsia="Times New Roman"/>
                            <w:sz w:val="24"/>
                            <w:u w:val="single"/>
                          </w:rPr>
                          <w:tab/>
                        </w:r>
                        <w:r>
                          <w:rPr>
                            <w:sz w:val="24"/>
                          </w:rPr>
                          <w:t>日内交货</w:t>
                        </w:r>
                      </w:p>
                    </w:tc>
                  </w:tr>
                </w:tbl>
                <w:p>
                  <w:pPr>
                    <w:pStyle w:val="2"/>
                  </w:pPr>
                </w:p>
              </w:txbxContent>
            </v:textbox>
          </v:shape>
        </w:pict>
      </w:r>
      <w:r>
        <w:rPr>
          <w:rFonts w:hint="eastAsia" w:ascii="Microsoft YaHei UI" w:eastAsia="Microsoft YaHei UI"/>
          <w:b/>
          <w:w w:val="95"/>
          <w:sz w:val="32"/>
        </w:rPr>
        <w:t>报价一览表</w:t>
      </w:r>
    </w:p>
    <w:p>
      <w:pPr>
        <w:wordWrap w:val="0"/>
        <w:rPr>
          <w:rFonts w:ascii="Microsoft YaHei UI" w:eastAsia="Microsoft YaHei UI"/>
          <w:sz w:val="32"/>
        </w:rPr>
        <w:sectPr>
          <w:type w:val="continuous"/>
          <w:pgSz w:w="16840" w:h="11910" w:orient="landscape"/>
          <w:pgMar w:top="1340" w:right="1260" w:bottom="960" w:left="880" w:header="720" w:footer="720" w:gutter="0"/>
          <w:cols w:equalWidth="0" w:num="2">
            <w:col w:w="2148" w:space="4189"/>
            <w:col w:w="8363"/>
          </w:cols>
        </w:sect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3"/>
        <w:rPr>
          <w:rFonts w:ascii="Microsoft YaHei UI"/>
          <w:b/>
          <w:sz w:val="2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pPr>
      <w:r>
        <w:rPr>
          <w:spacing w:val="-1"/>
        </w:rPr>
        <w:t>填写说明：1.</w:t>
      </w:r>
      <w:r>
        <w:t>附以下材料：货物清单，包括备品备件、专用工具和软件。2.质保及交货期必须填写。</w:t>
      </w:r>
    </w:p>
    <w:p>
      <w:pPr>
        <w:pStyle w:val="14"/>
        <w:numPr>
          <w:ilvl w:val="0"/>
          <w:numId w:val="40"/>
        </w:numPr>
        <w:tabs>
          <w:tab w:val="left" w:pos="381"/>
        </w:tabs>
        <w:wordWrap w:val="0"/>
        <w:spacing w:before="0" w:line="307" w:lineRule="exact"/>
        <w:rPr>
          <w:sz w:val="24"/>
        </w:rPr>
      </w:pPr>
      <w:r>
        <w:rPr>
          <w:sz w:val="24"/>
        </w:rPr>
        <w:t>如本表格式内容不能满足需要，可根据本表格格式自行划表填写，但必须体现以上内容。</w:t>
      </w:r>
    </w:p>
    <w:p>
      <w:pPr>
        <w:pStyle w:val="14"/>
        <w:numPr>
          <w:ilvl w:val="0"/>
          <w:numId w:val="40"/>
        </w:numPr>
        <w:tabs>
          <w:tab w:val="left" w:pos="381"/>
        </w:tabs>
        <w:wordWrap w:val="0"/>
        <w:spacing w:before="94" w:line="312" w:lineRule="auto"/>
        <w:ind w:left="140" w:right="156" w:firstLine="0"/>
        <w:rPr>
          <w:sz w:val="24"/>
        </w:rPr>
      </w:pPr>
      <w:r>
        <w:rPr>
          <w:spacing w:val="-1"/>
          <w:sz w:val="24"/>
        </w:rPr>
        <w:t>本表格中填写的单价和总价均应包括设备价、包装费、运输、安装、调试、培训、技术服务、必不可少的部件、标准备件、专用工具、</w:t>
      </w:r>
      <w:r>
        <w:rPr>
          <w:sz w:val="24"/>
        </w:rPr>
        <w:t>人工费、税费等全部费用。</w:t>
      </w:r>
    </w:p>
    <w:p>
      <w:pPr>
        <w:pStyle w:val="2"/>
        <w:wordWrap w:val="0"/>
        <w:spacing w:before="8"/>
        <w:rPr>
          <w:sz w:val="28"/>
        </w:rPr>
      </w:pPr>
    </w:p>
    <w:p>
      <w:pPr>
        <w:pStyle w:val="2"/>
        <w:tabs>
          <w:tab w:val="left" w:pos="4275"/>
        </w:tabs>
        <w:wordWrap w:val="0"/>
        <w:ind w:left="14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460"/>
          <w:tab w:val="left" w:pos="2180"/>
          <w:tab w:val="left" w:pos="2900"/>
        </w:tabs>
        <w:wordWrap w:val="0"/>
        <w:spacing w:before="67" w:line="499" w:lineRule="auto"/>
        <w:ind w:left="140" w:right="10236"/>
      </w:pPr>
      <w:r>
        <w:rPr>
          <w:spacing w:val="-1"/>
        </w:rPr>
        <w:t>供应商法</w:t>
      </w:r>
      <w:r>
        <w:t>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type w:val="continuous"/>
          <w:pgSz w:w="16840" w:h="11910" w:orient="landscape"/>
          <w:pgMar w:top="1340" w:right="1260" w:bottom="960" w:left="880" w:header="720" w:footer="720" w:gutter="0"/>
          <w:cols w:space="720" w:num="1"/>
        </w:sectPr>
      </w:pPr>
    </w:p>
    <w:p>
      <w:pPr>
        <w:wordWrap w:val="0"/>
        <w:spacing w:before="53" w:after="22" w:line="242" w:lineRule="auto"/>
        <w:ind w:left="4086" w:right="4077"/>
        <w:jc w:val="center"/>
        <w:rPr>
          <w:rFonts w:hint="eastAsia" w:eastAsiaTheme="minorEastAsia"/>
          <w:spacing w:val="-1"/>
          <w:sz w:val="18"/>
        </w:rPr>
      </w:pPr>
      <w:r>
        <w:rPr>
          <w:rFonts w:hint="eastAsia" w:eastAsiaTheme="minorEastAsia"/>
          <w:spacing w:val="-1"/>
          <w:sz w:val="18"/>
        </w:rPr>
        <w:t>宿迁市中医院</w:t>
      </w:r>
    </w:p>
    <w:p>
      <w:pPr>
        <w:wordWrap w:val="0"/>
        <w:spacing w:before="53" w:after="22" w:line="242" w:lineRule="auto"/>
        <w:ind w:left="4086" w:right="4077"/>
        <w:jc w:val="center"/>
        <w:rPr>
          <w:rFonts w:hint="eastAsia" w:eastAsiaTheme="minorEastAsia"/>
          <w:sz w:val="18"/>
        </w:rPr>
      </w:pPr>
    </w:p>
    <w:p>
      <w:pPr>
        <w:pStyle w:val="2"/>
        <w:wordWrap w:val="0"/>
        <w:spacing w:line="20" w:lineRule="exact"/>
        <w:ind w:left="625"/>
        <w:rPr>
          <w:sz w:val="2"/>
        </w:rPr>
      </w:pPr>
      <w:r>
        <w:rPr>
          <w:sz w:val="2"/>
        </w:rPr>
        <w:pict>
          <v:group id="_x0000_s2076" o:spid="_x0000_s2076" o:spt="203" style="height:0.75pt;width:445.15pt;" coordsize="8903,15">
            <o:lock v:ext="edit"/>
            <v:rect id="_x0000_s2077" o:spid="_x0000_s2077" o:spt="1" style="position:absolute;left:0;top:0;height:15;width:8903;" fillcolor="#000000" filled="t" stroked="f" coordsize="21600,21600">
              <v:path/>
              <v:fill on="t" focussize="0,0"/>
              <v:stroke on="f"/>
              <v:imagedata o:title=""/>
              <o:lock v:ext="edit"/>
            </v:rect>
            <w10:wrap type="none"/>
            <w10:anchorlock/>
          </v:group>
        </w:pict>
      </w:r>
    </w:p>
    <w:p>
      <w:pPr>
        <w:pStyle w:val="2"/>
        <w:wordWrap w:val="0"/>
        <w:rPr>
          <w:sz w:val="20"/>
        </w:rPr>
      </w:pPr>
    </w:p>
    <w:p>
      <w:pPr>
        <w:pStyle w:val="2"/>
        <w:wordWrap w:val="0"/>
        <w:spacing w:before="9"/>
        <w:rPr>
          <w:sz w:val="14"/>
        </w:rPr>
      </w:pPr>
    </w:p>
    <w:p>
      <w:pPr>
        <w:wordWrap w:val="0"/>
        <w:spacing w:line="485" w:lineRule="exact"/>
        <w:ind w:left="654"/>
        <w:rPr>
          <w:rFonts w:ascii="Microsoft YaHei UI" w:eastAsia="Microsoft YaHei UI"/>
          <w:b/>
          <w:sz w:val="28"/>
        </w:rPr>
      </w:pPr>
      <w:r>
        <w:rPr>
          <w:rFonts w:hint="eastAsia" w:ascii="Microsoft YaHei UI" w:eastAsia="Microsoft YaHei UI"/>
          <w:b/>
          <w:sz w:val="28"/>
        </w:rPr>
        <w:t>七、分项报价表</w:t>
      </w:r>
    </w:p>
    <w:p>
      <w:pPr>
        <w:pStyle w:val="2"/>
        <w:wordWrap w:val="0"/>
        <w:spacing w:before="2"/>
        <w:rPr>
          <w:rFonts w:ascii="Microsoft YaHei UI"/>
          <w:b/>
          <w:sz w:val="23"/>
        </w:rPr>
      </w:pPr>
    </w:p>
    <w:p>
      <w:pPr>
        <w:wordWrap w:val="0"/>
        <w:spacing w:line="538" w:lineRule="exact"/>
        <w:ind w:left="4086" w:right="3458"/>
        <w:jc w:val="center"/>
        <w:rPr>
          <w:rFonts w:ascii="Microsoft YaHei UI" w:eastAsia="Microsoft YaHei UI"/>
          <w:b/>
          <w:sz w:val="32"/>
        </w:rPr>
      </w:pPr>
      <w:r>
        <w:pict>
          <v:shape id="_x0000_s2075" o:spid="_x0000_s2075" o:spt="202" type="#_x0000_t202" style="position:absolute;left:0pt;margin-left:46.9pt;margin-top:23.7pt;height:182.55pt;width:496.1pt;mso-position-horizontal-relative:page;z-index:251661312;mso-width-relative:page;mso-height-relative:page;" filled="f" stroked="f" coordsize="21600,21600">
            <v:path/>
            <v:fill on="f" focussize="0,0"/>
            <v:stroke on="f" joinstyle="miter"/>
            <v:imagedata o:title=""/>
            <o:lock v:ext="edit"/>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843"/>
                    <w:gridCol w:w="237"/>
                    <w:gridCol w:w="1181"/>
                    <w:gridCol w:w="849"/>
                    <w:gridCol w:w="1701"/>
                    <w:gridCol w:w="3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14" w:type="dxa"/>
                      </w:tcPr>
                      <w:p>
                        <w:pPr>
                          <w:pStyle w:val="15"/>
                          <w:spacing w:before="10"/>
                          <w:rPr>
                            <w:rFonts w:ascii="Times New Roman"/>
                          </w:rPr>
                        </w:pPr>
                      </w:p>
                      <w:p>
                        <w:pPr>
                          <w:pStyle w:val="15"/>
                          <w:spacing w:before="1"/>
                          <w:ind w:left="147" w:right="136"/>
                          <w:jc w:val="center"/>
                          <w:rPr>
                            <w:sz w:val="24"/>
                          </w:rPr>
                        </w:pPr>
                        <w:r>
                          <w:rPr>
                            <w:sz w:val="24"/>
                          </w:rPr>
                          <w:t>序号</w:t>
                        </w:r>
                      </w:p>
                    </w:tc>
                    <w:tc>
                      <w:tcPr>
                        <w:tcW w:w="1843" w:type="dxa"/>
                      </w:tcPr>
                      <w:p>
                        <w:pPr>
                          <w:pStyle w:val="15"/>
                          <w:spacing w:before="31" w:line="360" w:lineRule="atLeast"/>
                          <w:ind w:left="561" w:right="429" w:hanging="120"/>
                          <w:rPr>
                            <w:sz w:val="24"/>
                          </w:rPr>
                        </w:pPr>
                        <w:r>
                          <w:rPr>
                            <w:spacing w:val="-1"/>
                            <w:sz w:val="24"/>
                          </w:rPr>
                          <w:t>费用名称</w:t>
                        </w:r>
                        <w:r>
                          <w:rPr>
                            <w:sz w:val="24"/>
                          </w:rPr>
                          <w:t>及简述</w:t>
                        </w:r>
                      </w:p>
                    </w:tc>
                    <w:tc>
                      <w:tcPr>
                        <w:tcW w:w="1418" w:type="dxa"/>
                        <w:gridSpan w:val="2"/>
                      </w:tcPr>
                      <w:p>
                        <w:pPr>
                          <w:pStyle w:val="15"/>
                          <w:spacing w:before="10"/>
                          <w:rPr>
                            <w:rFonts w:ascii="Times New Roman"/>
                          </w:rPr>
                        </w:pPr>
                      </w:p>
                      <w:p>
                        <w:pPr>
                          <w:pStyle w:val="15"/>
                          <w:spacing w:before="1"/>
                          <w:ind w:left="107"/>
                          <w:rPr>
                            <w:sz w:val="24"/>
                          </w:rPr>
                        </w:pPr>
                        <w:r>
                          <w:rPr>
                            <w:sz w:val="24"/>
                          </w:rPr>
                          <w:t>单价（元）</w:t>
                        </w:r>
                      </w:p>
                    </w:tc>
                    <w:tc>
                      <w:tcPr>
                        <w:tcW w:w="849" w:type="dxa"/>
                      </w:tcPr>
                      <w:p>
                        <w:pPr>
                          <w:pStyle w:val="15"/>
                          <w:spacing w:before="10"/>
                          <w:rPr>
                            <w:rFonts w:ascii="Times New Roman"/>
                          </w:rPr>
                        </w:pPr>
                      </w:p>
                      <w:p>
                        <w:pPr>
                          <w:pStyle w:val="15"/>
                          <w:spacing w:before="1"/>
                          <w:ind w:left="185"/>
                          <w:rPr>
                            <w:sz w:val="24"/>
                          </w:rPr>
                        </w:pPr>
                        <w:r>
                          <w:rPr>
                            <w:sz w:val="24"/>
                          </w:rPr>
                          <w:t>数量</w:t>
                        </w:r>
                      </w:p>
                    </w:tc>
                    <w:tc>
                      <w:tcPr>
                        <w:tcW w:w="1701" w:type="dxa"/>
                      </w:tcPr>
                      <w:p>
                        <w:pPr>
                          <w:pStyle w:val="15"/>
                          <w:spacing w:before="10"/>
                          <w:rPr>
                            <w:rFonts w:ascii="Times New Roman"/>
                          </w:rPr>
                        </w:pPr>
                      </w:p>
                      <w:p>
                        <w:pPr>
                          <w:pStyle w:val="15"/>
                          <w:spacing w:before="1"/>
                          <w:ind w:left="251"/>
                          <w:rPr>
                            <w:sz w:val="24"/>
                          </w:rPr>
                        </w:pPr>
                        <w:r>
                          <w:rPr>
                            <w:sz w:val="24"/>
                          </w:rPr>
                          <w:t>总价（元）</w:t>
                        </w:r>
                      </w:p>
                    </w:tc>
                    <w:tc>
                      <w:tcPr>
                        <w:tcW w:w="3278" w:type="dxa"/>
                      </w:tcPr>
                      <w:p>
                        <w:pPr>
                          <w:pStyle w:val="15"/>
                          <w:spacing w:before="10"/>
                          <w:rPr>
                            <w:rFonts w:ascii="Times New Roman"/>
                          </w:rPr>
                        </w:pPr>
                      </w:p>
                      <w:p>
                        <w:pPr>
                          <w:pStyle w:val="15"/>
                          <w:spacing w:before="1"/>
                          <w:ind w:left="1381" w:right="1366"/>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5"/>
                          <w:spacing w:before="211"/>
                          <w:ind w:left="11"/>
                          <w:jc w:val="center"/>
                          <w:rPr>
                            <w:sz w:val="24"/>
                          </w:rPr>
                        </w:pPr>
                        <w:r>
                          <w:rPr>
                            <w:sz w:val="24"/>
                          </w:rPr>
                          <w:t>1</w:t>
                        </w:r>
                      </w:p>
                    </w:tc>
                    <w:tc>
                      <w:tcPr>
                        <w:tcW w:w="1843" w:type="dxa"/>
                      </w:tcPr>
                      <w:p>
                        <w:pPr>
                          <w:pStyle w:val="15"/>
                          <w:rPr>
                            <w:rFonts w:ascii="Times New Roman"/>
                          </w:rPr>
                        </w:pPr>
                      </w:p>
                    </w:tc>
                    <w:tc>
                      <w:tcPr>
                        <w:tcW w:w="1418" w:type="dxa"/>
                        <w:gridSpan w:val="2"/>
                      </w:tcPr>
                      <w:p>
                        <w:pPr>
                          <w:pStyle w:val="15"/>
                          <w:rPr>
                            <w:rFonts w:ascii="Times New Roman"/>
                          </w:rPr>
                        </w:pPr>
                      </w:p>
                    </w:tc>
                    <w:tc>
                      <w:tcPr>
                        <w:tcW w:w="849" w:type="dxa"/>
                      </w:tcPr>
                      <w:p>
                        <w:pPr>
                          <w:pStyle w:val="15"/>
                          <w:rPr>
                            <w:rFonts w:ascii="Times New Roman"/>
                          </w:rPr>
                        </w:pPr>
                      </w:p>
                    </w:tc>
                    <w:tc>
                      <w:tcPr>
                        <w:tcW w:w="1701" w:type="dxa"/>
                      </w:tcPr>
                      <w:p>
                        <w:pPr>
                          <w:pStyle w:val="15"/>
                          <w:rPr>
                            <w:rFonts w:ascii="Times New Roman"/>
                          </w:rPr>
                        </w:pPr>
                      </w:p>
                    </w:tc>
                    <w:tc>
                      <w:tcPr>
                        <w:tcW w:w="3278"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14" w:type="dxa"/>
                      </w:tcPr>
                      <w:p>
                        <w:pPr>
                          <w:pStyle w:val="15"/>
                          <w:spacing w:before="208"/>
                          <w:ind w:left="11"/>
                          <w:jc w:val="center"/>
                          <w:rPr>
                            <w:sz w:val="24"/>
                          </w:rPr>
                        </w:pPr>
                        <w:r>
                          <w:rPr>
                            <w:sz w:val="24"/>
                          </w:rPr>
                          <w:t>2</w:t>
                        </w:r>
                      </w:p>
                    </w:tc>
                    <w:tc>
                      <w:tcPr>
                        <w:tcW w:w="1843" w:type="dxa"/>
                      </w:tcPr>
                      <w:p>
                        <w:pPr>
                          <w:pStyle w:val="15"/>
                          <w:rPr>
                            <w:rFonts w:ascii="Times New Roman"/>
                          </w:rPr>
                        </w:pPr>
                      </w:p>
                    </w:tc>
                    <w:tc>
                      <w:tcPr>
                        <w:tcW w:w="1418" w:type="dxa"/>
                        <w:gridSpan w:val="2"/>
                      </w:tcPr>
                      <w:p>
                        <w:pPr>
                          <w:pStyle w:val="15"/>
                          <w:rPr>
                            <w:rFonts w:ascii="Times New Roman"/>
                          </w:rPr>
                        </w:pPr>
                      </w:p>
                    </w:tc>
                    <w:tc>
                      <w:tcPr>
                        <w:tcW w:w="849" w:type="dxa"/>
                      </w:tcPr>
                      <w:p>
                        <w:pPr>
                          <w:pStyle w:val="15"/>
                          <w:rPr>
                            <w:rFonts w:ascii="Times New Roman"/>
                          </w:rPr>
                        </w:pPr>
                      </w:p>
                    </w:tc>
                    <w:tc>
                      <w:tcPr>
                        <w:tcW w:w="1701" w:type="dxa"/>
                      </w:tcPr>
                      <w:p>
                        <w:pPr>
                          <w:pStyle w:val="15"/>
                          <w:rPr>
                            <w:rFonts w:ascii="Times New Roman"/>
                          </w:rPr>
                        </w:pPr>
                      </w:p>
                    </w:tc>
                    <w:tc>
                      <w:tcPr>
                        <w:tcW w:w="3278"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5"/>
                          <w:spacing w:before="211"/>
                          <w:ind w:left="11"/>
                          <w:jc w:val="center"/>
                          <w:rPr>
                            <w:sz w:val="24"/>
                          </w:rPr>
                        </w:pPr>
                        <w:r>
                          <w:rPr>
                            <w:w w:val="200"/>
                            <w:sz w:val="24"/>
                          </w:rPr>
                          <w:t>„</w:t>
                        </w:r>
                      </w:p>
                    </w:tc>
                    <w:tc>
                      <w:tcPr>
                        <w:tcW w:w="1843" w:type="dxa"/>
                      </w:tcPr>
                      <w:p>
                        <w:pPr>
                          <w:pStyle w:val="15"/>
                          <w:rPr>
                            <w:rFonts w:ascii="Times New Roman"/>
                          </w:rPr>
                        </w:pPr>
                      </w:p>
                    </w:tc>
                    <w:tc>
                      <w:tcPr>
                        <w:tcW w:w="1418" w:type="dxa"/>
                        <w:gridSpan w:val="2"/>
                      </w:tcPr>
                      <w:p>
                        <w:pPr>
                          <w:pStyle w:val="15"/>
                          <w:rPr>
                            <w:rFonts w:ascii="Times New Roman"/>
                          </w:rPr>
                        </w:pPr>
                      </w:p>
                    </w:tc>
                    <w:tc>
                      <w:tcPr>
                        <w:tcW w:w="849" w:type="dxa"/>
                      </w:tcPr>
                      <w:p>
                        <w:pPr>
                          <w:pStyle w:val="15"/>
                          <w:rPr>
                            <w:rFonts w:ascii="Times New Roman"/>
                          </w:rPr>
                        </w:pPr>
                      </w:p>
                    </w:tc>
                    <w:tc>
                      <w:tcPr>
                        <w:tcW w:w="1701" w:type="dxa"/>
                      </w:tcPr>
                      <w:p>
                        <w:pPr>
                          <w:pStyle w:val="15"/>
                          <w:rPr>
                            <w:rFonts w:ascii="Times New Roman"/>
                          </w:rPr>
                        </w:pPr>
                      </w:p>
                    </w:tc>
                    <w:tc>
                      <w:tcPr>
                        <w:tcW w:w="3278"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894" w:type="dxa"/>
                        <w:gridSpan w:val="3"/>
                      </w:tcPr>
                      <w:p>
                        <w:pPr>
                          <w:pStyle w:val="15"/>
                          <w:rPr>
                            <w:rFonts w:ascii="Times New Roman"/>
                            <w:sz w:val="39"/>
                          </w:rPr>
                        </w:pPr>
                      </w:p>
                      <w:p>
                        <w:pPr>
                          <w:pStyle w:val="15"/>
                          <w:spacing w:before="1"/>
                          <w:ind w:left="885"/>
                          <w:rPr>
                            <w:sz w:val="28"/>
                          </w:rPr>
                        </w:pPr>
                        <w:r>
                          <w:rPr>
                            <w:sz w:val="28"/>
                          </w:rPr>
                          <w:t>报价总计</w:t>
                        </w:r>
                      </w:p>
                    </w:tc>
                    <w:tc>
                      <w:tcPr>
                        <w:tcW w:w="7009" w:type="dxa"/>
                        <w:gridSpan w:val="4"/>
                      </w:tcPr>
                      <w:p>
                        <w:pPr>
                          <w:pStyle w:val="15"/>
                          <w:tabs>
                            <w:tab w:val="left" w:pos="4549"/>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5"/>
                          <w:spacing w:before="10"/>
                          <w:rPr>
                            <w:rFonts w:ascii="Times New Roman"/>
                            <w:sz w:val="21"/>
                          </w:rPr>
                        </w:pPr>
                      </w:p>
                      <w:p>
                        <w:pPr>
                          <w:pStyle w:val="15"/>
                          <w:tabs>
                            <w:tab w:val="left" w:pos="2269"/>
                            <w:tab w:val="left" w:pos="2869"/>
                            <w:tab w:val="left" w:pos="3469"/>
                            <w:tab w:val="left" w:pos="4069"/>
                            <w:tab w:val="left" w:pos="4669"/>
                            <w:tab w:val="left" w:pos="5269"/>
                            <w:tab w:val="left" w:pos="5870"/>
                            <w:tab w:val="left" w:pos="6470"/>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v:textbox>
          </v:shape>
        </w:pict>
      </w:r>
      <w:r>
        <w:rPr>
          <w:rFonts w:hint="eastAsia" w:ascii="Microsoft YaHei UI" w:eastAsia="Microsoft YaHei UI"/>
          <w:b/>
          <w:w w:val="95"/>
          <w:sz w:val="32"/>
        </w:rPr>
        <w:t>分项报价表</w:t>
      </w: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3"/>
        <w:rPr>
          <w:rFonts w:ascii="Microsoft YaHei UI"/>
          <w:b/>
        </w:rPr>
      </w:pPr>
      <w:r>
        <w:pict>
          <v:rect id="_x0000_s2074" o:spid="_x0000_s2074" o:spt="1" style="position:absolute;left:0pt;margin-left:287.35pt;margin-top:23.5pt;height:0.6pt;width:132pt;mso-position-horizontal-relative:page;mso-wrap-distance-bottom:0pt;mso-wrap-distance-top:0pt;z-index:-251638784;mso-width-relative:page;mso-height-relative:page;" fillcolor="#000000" filled="t" stroked="f" coordsize="21600,21600">
            <v:path/>
            <v:fill on="t" focussize="0,0"/>
            <v:stroke on="f"/>
            <v:imagedata o:title=""/>
            <o:lock v:ext="edit"/>
            <w10:wrap type="topAndBottom"/>
          </v:rect>
        </w:pict>
      </w:r>
      <w:r>
        <w:pict>
          <v:rect id="_x0000_s2073" o:spid="_x0000_s2073" o:spt="1" style="position:absolute;left:0pt;margin-left:287.35pt;margin-top:51.45pt;height:0.6pt;width:18pt;mso-position-horizontal-relative:page;mso-wrap-distance-bottom:0pt;mso-wrap-distance-top:0pt;z-index:-251638784;mso-width-relative:page;mso-height-relative:page;" fillcolor="#000000" filled="t" stroked="f" coordsize="21600,21600">
            <v:path/>
            <v:fill on="t" focussize="0,0"/>
            <v:stroke on="f"/>
            <v:imagedata o:title=""/>
            <o:lock v:ext="edit"/>
            <w10:wrap type="topAndBottom"/>
          </v:rect>
        </w:pict>
      </w:r>
      <w:r>
        <w:pict>
          <v:rect id="_x0000_s2072" o:spid="_x0000_s2072" o:spt="1" style="position:absolute;left:0pt;margin-left:317.35pt;margin-top:51.45pt;height:0.6pt;width:18pt;mso-position-horizontal-relative:page;mso-wrap-distance-bottom:0pt;mso-wrap-distance-top:0pt;z-index:-251637760;mso-width-relative:page;mso-height-relative:page;" fillcolor="#000000" filled="t" stroked="f" coordsize="21600,21600">
            <v:path/>
            <v:fill on="t" focussize="0,0"/>
            <v:stroke on="f"/>
            <v:imagedata o:title=""/>
            <o:lock v:ext="edit"/>
            <w10:wrap type="topAndBottom"/>
          </v:rect>
        </w:pict>
      </w:r>
      <w:r>
        <w:pict>
          <v:rect id="_x0000_s2071" o:spid="_x0000_s2071" o:spt="1" style="position:absolute;left:0pt;margin-left:347.35pt;margin-top:51.45pt;height:0.6pt;width:18pt;mso-position-horizontal-relative:page;mso-wrap-distance-bottom:0pt;mso-wrap-distance-top:0pt;z-index:-251637760;mso-width-relative:page;mso-height-relative:page;" fillcolor="#000000" filled="t" stroked="f" coordsize="21600,21600">
            <v:path/>
            <v:fill on="t" focussize="0,0"/>
            <v:stroke on="f"/>
            <v:imagedata o:title=""/>
            <o:lock v:ext="edit"/>
            <w10:wrap type="topAndBottom"/>
          </v:rect>
        </w:pict>
      </w:r>
      <w:r>
        <w:pict>
          <v:rect id="_x0000_s2070" o:spid="_x0000_s2070" o:spt="1" style="position:absolute;left:0pt;margin-left:377.35pt;margin-top:51.45pt;height:0.6pt;width:18pt;mso-position-horizontal-relative:page;mso-wrap-distance-bottom:0pt;mso-wrap-distance-top:0pt;z-index:-251636736;mso-width-relative:page;mso-height-relative:page;" fillcolor="#000000" filled="t" stroked="f" coordsize="21600,21600">
            <v:path/>
            <v:fill on="t" focussize="0,0"/>
            <v:stroke on="f"/>
            <v:imagedata o:title=""/>
            <o:lock v:ext="edit"/>
            <w10:wrap type="topAndBottom"/>
          </v:rect>
        </w:pict>
      </w:r>
      <w:r>
        <w:pict>
          <v:rect id="_x0000_s2069" o:spid="_x0000_s2069" o:spt="1" style="position:absolute;left:0pt;margin-left:407.35pt;margin-top:51.45pt;height:0.6pt;width:18pt;mso-position-horizontal-relative:page;mso-wrap-distance-bottom:0pt;mso-wrap-distance-top:0pt;z-index:-251636736;mso-width-relative:page;mso-height-relative:page;" fillcolor="#000000" filled="t" stroked="f" coordsize="21600,21600">
            <v:path/>
            <v:fill on="t" focussize="0,0"/>
            <v:stroke on="f"/>
            <v:imagedata o:title=""/>
            <o:lock v:ext="edit"/>
            <w10:wrap type="topAndBottom"/>
          </v:rect>
        </w:pict>
      </w:r>
      <w:r>
        <w:pict>
          <v:rect id="_x0000_s2068" o:spid="_x0000_s2068" o:spt="1" style="position:absolute;left:0pt;margin-left:437.35pt;margin-top:51.45pt;height:0.6pt;width:18pt;mso-position-horizontal-relative:page;mso-wrap-distance-bottom:0pt;mso-wrap-distance-top:0pt;z-index:-251635712;mso-width-relative:page;mso-height-relative:page;" fillcolor="#000000" filled="t" stroked="f" coordsize="21600,21600">
            <v:path/>
            <v:fill on="t" focussize="0,0"/>
            <v:stroke on="f"/>
            <v:imagedata o:title=""/>
            <o:lock v:ext="edit"/>
            <w10:wrap type="topAndBottom"/>
          </v:rect>
        </w:pict>
      </w:r>
      <w:r>
        <w:pict>
          <v:rect id="_x0000_s2067" o:spid="_x0000_s2067" o:spt="1" style="position:absolute;left:0pt;margin-left:467.35pt;margin-top:51.45pt;height:0.6pt;width:18pt;mso-position-horizontal-relative:page;mso-wrap-distance-bottom:0pt;mso-wrap-distance-top:0pt;z-index:-251635712;mso-width-relative:page;mso-height-relative:page;" fillcolor="#000000" filled="t" stroked="f" coordsize="21600,21600">
            <v:path/>
            <v:fill on="t" focussize="0,0"/>
            <v:stroke on="f"/>
            <v:imagedata o:title=""/>
            <o:lock v:ext="edit"/>
            <w10:wrap type="topAndBottom"/>
          </v:rect>
        </w:pict>
      </w:r>
      <w:r>
        <w:pict>
          <v:rect id="_x0000_s2066" o:spid="_x0000_s2066" o:spt="1" style="position:absolute;left:0pt;margin-left:497.4pt;margin-top:51.45pt;height:0.6pt;width:18pt;mso-position-horizontal-relative:page;mso-wrap-distance-bottom:0pt;mso-wrap-distance-top:0pt;z-index:-251634688;mso-width-relative:page;mso-height-relative:page;" fillcolor="#000000" filled="t" stroked="f" coordsize="21600,21600">
            <v:path/>
            <v:fill on="t" focussize="0,0"/>
            <v:stroke on="f"/>
            <v:imagedata o:title=""/>
            <o:lock v:ext="edit"/>
            <w10:wrap type="topAndBottom"/>
          </v:rect>
        </w:pict>
      </w:r>
    </w:p>
    <w:p>
      <w:pPr>
        <w:pStyle w:val="2"/>
        <w:wordWrap w:val="0"/>
        <w:spacing w:before="16"/>
        <w:rPr>
          <w:rFonts w:ascii="Microsoft YaHei UI"/>
          <w:b/>
          <w:sz w:val="26"/>
        </w:rPr>
      </w:pPr>
    </w:p>
    <w:p>
      <w:pPr>
        <w:pStyle w:val="2"/>
        <w:wordWrap w:val="0"/>
        <w:spacing w:before="105"/>
        <w:ind w:left="654"/>
        <w:rPr>
          <w:rFonts w:hint="eastAsia" w:eastAsiaTheme="minorEastAsia"/>
        </w:rPr>
      </w:pPr>
    </w:p>
    <w:p>
      <w:pPr>
        <w:pStyle w:val="2"/>
        <w:wordWrap w:val="0"/>
        <w:spacing w:before="105"/>
        <w:ind w:left="654"/>
        <w:rPr>
          <w:rFonts w:hint="eastAsia" w:eastAsiaTheme="minorEastAsia"/>
        </w:rPr>
      </w:pPr>
    </w:p>
    <w:p>
      <w:pPr>
        <w:pStyle w:val="2"/>
        <w:wordWrap w:val="0"/>
        <w:spacing w:before="105"/>
        <w:ind w:left="654"/>
        <w:rPr>
          <w:rFonts w:hint="eastAsia" w:eastAsiaTheme="minorEastAsia"/>
        </w:rPr>
      </w:pPr>
    </w:p>
    <w:p>
      <w:pPr>
        <w:pStyle w:val="2"/>
        <w:wordWrap w:val="0"/>
        <w:spacing w:before="105"/>
        <w:ind w:left="654"/>
      </w:pPr>
      <w:r>
        <w:t>填写说明：</w:t>
      </w:r>
    </w:p>
    <w:p>
      <w:pPr>
        <w:pStyle w:val="14"/>
        <w:numPr>
          <w:ilvl w:val="1"/>
          <w:numId w:val="40"/>
        </w:numPr>
        <w:tabs>
          <w:tab w:val="left" w:pos="1015"/>
        </w:tabs>
        <w:wordWrap w:val="0"/>
        <w:spacing w:before="93" w:line="312" w:lineRule="auto"/>
        <w:ind w:right="2889" w:firstLine="0"/>
        <w:rPr>
          <w:sz w:val="24"/>
        </w:rPr>
      </w:pPr>
      <w:r>
        <w:rPr>
          <w:spacing w:val="-1"/>
          <w:sz w:val="24"/>
        </w:rPr>
        <w:t>本表中报价总计应与对应的第十条报价一览表中总价一致；</w:t>
      </w:r>
      <w:r>
        <w:rPr>
          <w:spacing w:val="-117"/>
          <w:sz w:val="24"/>
        </w:rPr>
        <w:t xml:space="preserve"> </w:t>
      </w:r>
      <w:r>
        <w:rPr>
          <w:sz w:val="24"/>
        </w:rPr>
        <w:t>2.供应商应分项进行填报，表中表格行数可自行添加；</w:t>
      </w:r>
    </w:p>
    <w:p>
      <w:pPr>
        <w:pStyle w:val="2"/>
        <w:wordWrap w:val="0"/>
        <w:spacing w:line="312" w:lineRule="auto"/>
        <w:ind w:left="654" w:right="850"/>
      </w:pPr>
      <w:r>
        <w:rPr>
          <w:spacing w:val="-1"/>
        </w:rPr>
        <w:t>3.</w:t>
      </w:r>
      <w:r>
        <w:t>竞争性磋商文件中未列出的相关辅助材料和在实施过程中涉及到的其它一切费用应在报价时一并考虑，项目实施过程中不再单独结算；</w:t>
      </w:r>
    </w:p>
    <w:p>
      <w:pPr>
        <w:pStyle w:val="2"/>
        <w:wordWrap w:val="0"/>
      </w:pPr>
    </w:p>
    <w:p>
      <w:pPr>
        <w:pStyle w:val="2"/>
        <w:wordWrap w:val="0"/>
      </w:pPr>
    </w:p>
    <w:p>
      <w:pPr>
        <w:pStyle w:val="2"/>
        <w:wordWrap w:val="0"/>
        <w:spacing w:before="4"/>
        <w:rPr>
          <w:sz w:val="21"/>
        </w:rPr>
      </w:pPr>
    </w:p>
    <w:p>
      <w:pPr>
        <w:pStyle w:val="2"/>
        <w:tabs>
          <w:tab w:val="left" w:pos="4789"/>
        </w:tabs>
        <w:wordWrap w:val="0"/>
        <w:ind w:left="654"/>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973"/>
          <w:tab w:val="left" w:pos="2693"/>
          <w:tab w:val="left" w:pos="3349"/>
        </w:tabs>
        <w:wordWrap w:val="0"/>
        <w:spacing w:before="67" w:line="499" w:lineRule="auto"/>
        <w:ind w:left="654" w:right="5170"/>
        <w:rPr>
          <w:rFonts w:ascii="Times New Roman" w:eastAsia="Times New Roman"/>
        </w:rPr>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p>
    <w:p>
      <w:pPr>
        <w:wordWrap w:val="0"/>
        <w:spacing w:line="499" w:lineRule="auto"/>
        <w:rPr>
          <w:rFonts w:ascii="Times New Roman" w:eastAsia="Times New Roman"/>
        </w:rPr>
        <w:sectPr>
          <w:headerReference r:id="rId15" w:type="default"/>
          <w:footerReference r:id="rId16" w:type="default"/>
          <w:pgSz w:w="11910" w:h="16840"/>
          <w:pgMar w:top="780" w:right="940" w:bottom="960" w:left="820" w:header="0" w:footer="770" w:gutter="0"/>
          <w:cols w:space="720" w:num="1"/>
        </w:sectPr>
      </w:pPr>
    </w:p>
    <w:p>
      <w:pPr>
        <w:pStyle w:val="2"/>
        <w:wordWrap w:val="0"/>
        <w:spacing w:before="5"/>
        <w:rPr>
          <w:rFonts w:ascii="Times New Roman"/>
          <w:sz w:val="21"/>
        </w:rPr>
      </w:pPr>
    </w:p>
    <w:p>
      <w:pPr>
        <w:wordWrap w:val="0"/>
        <w:rPr>
          <w:rFonts w:ascii="Times New Roman"/>
          <w:sz w:val="21"/>
        </w:rPr>
        <w:sectPr>
          <w:headerReference r:id="rId17" w:type="default"/>
          <w:footerReference r:id="rId18" w:type="default"/>
          <w:pgSz w:w="16840" w:h="11910" w:orient="landscape"/>
          <w:pgMar w:top="1340" w:right="1300" w:bottom="960" w:left="920" w:header="877" w:footer="771" w:gutter="0"/>
          <w:pgNumType w:start="42"/>
          <w:cols w:space="720" w:num="1"/>
        </w:sectPr>
      </w:pPr>
    </w:p>
    <w:p>
      <w:pPr>
        <w:wordWrap w:val="0"/>
        <w:spacing w:line="484" w:lineRule="exact"/>
        <w:ind w:left="100"/>
        <w:rPr>
          <w:rFonts w:ascii="Microsoft YaHei UI" w:eastAsia="Microsoft YaHei UI"/>
          <w:b/>
          <w:sz w:val="28"/>
        </w:rPr>
      </w:pPr>
      <w:r>
        <w:rPr>
          <w:rFonts w:hint="eastAsia" w:ascii="Microsoft YaHei UI" w:eastAsia="Microsoft YaHei UI"/>
          <w:b/>
          <w:sz w:val="28"/>
        </w:rPr>
        <w:t>八、耗材/试剂报价表</w:t>
      </w:r>
    </w:p>
    <w:p>
      <w:pPr>
        <w:pStyle w:val="2"/>
        <w:wordWrap w:val="0"/>
        <w:rPr>
          <w:rFonts w:ascii="Microsoft YaHei UI"/>
          <w:b/>
          <w:sz w:val="21"/>
        </w:rPr>
      </w:pPr>
      <w:r>
        <w:br w:type="column"/>
      </w:r>
    </w:p>
    <w:p>
      <w:pPr>
        <w:wordWrap w:val="0"/>
        <w:ind w:left="100"/>
        <w:rPr>
          <w:rFonts w:ascii="Microsoft YaHei UI" w:eastAsia="Microsoft YaHei UI"/>
          <w:b/>
          <w:sz w:val="32"/>
        </w:rPr>
      </w:pPr>
      <w:r>
        <w:pict>
          <v:shape id="_x0000_s2065" o:spid="_x0000_s2065" o:spt="202" type="#_x0000_t202" style="position:absolute;left:0pt;margin-left:57.5pt;margin-top:24.65pt;height:169.15pt;width:707.4pt;mso-position-horizontal-relative:page;z-index:251662336;mso-width-relative:page;mso-height-relative:page;" filled="f" stroked="f" coordsize="21600,21600">
            <v:path/>
            <v:fill on="f" focussize="0,0"/>
            <v:stroke on="f" joinstyle="miter"/>
            <v:imagedata o:title=""/>
            <o:lock v:ext="edit"/>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082"/>
                    <w:gridCol w:w="816"/>
                    <w:gridCol w:w="1380"/>
                    <w:gridCol w:w="2101"/>
                    <w:gridCol w:w="1446"/>
                    <w:gridCol w:w="913"/>
                    <w:gridCol w:w="1158"/>
                    <w:gridCol w:w="1449"/>
                    <w:gridCol w:w="1592"/>
                    <w:gridCol w:w="1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63" w:type="dxa"/>
                      </w:tcPr>
                      <w:p>
                        <w:pPr>
                          <w:pStyle w:val="15"/>
                          <w:spacing w:before="112"/>
                          <w:ind w:left="210"/>
                          <w:rPr>
                            <w:sz w:val="24"/>
                          </w:rPr>
                        </w:pPr>
                        <w:r>
                          <w:rPr>
                            <w:sz w:val="24"/>
                          </w:rPr>
                          <w:t>序</w:t>
                        </w:r>
                      </w:p>
                      <w:p>
                        <w:pPr>
                          <w:pStyle w:val="15"/>
                          <w:spacing w:before="134" w:line="306" w:lineRule="exact"/>
                          <w:ind w:left="210"/>
                          <w:rPr>
                            <w:sz w:val="24"/>
                          </w:rPr>
                        </w:pPr>
                        <w:r>
                          <w:rPr>
                            <w:sz w:val="24"/>
                          </w:rPr>
                          <w:t>号</w:t>
                        </w:r>
                      </w:p>
                    </w:tc>
                    <w:tc>
                      <w:tcPr>
                        <w:tcW w:w="1898" w:type="dxa"/>
                        <w:gridSpan w:val="2"/>
                      </w:tcPr>
                      <w:p>
                        <w:pPr>
                          <w:pStyle w:val="15"/>
                          <w:rPr>
                            <w:sz w:val="26"/>
                          </w:rPr>
                        </w:pPr>
                      </w:p>
                      <w:p>
                        <w:pPr>
                          <w:pStyle w:val="15"/>
                          <w:ind w:left="167"/>
                          <w:rPr>
                            <w:sz w:val="24"/>
                          </w:rPr>
                        </w:pPr>
                        <w:r>
                          <w:rPr>
                            <w:sz w:val="24"/>
                          </w:rPr>
                          <w:t>耗材/配件名称</w:t>
                        </w:r>
                      </w:p>
                    </w:tc>
                    <w:tc>
                      <w:tcPr>
                        <w:tcW w:w="1380" w:type="dxa"/>
                      </w:tcPr>
                      <w:p>
                        <w:pPr>
                          <w:pStyle w:val="15"/>
                          <w:rPr>
                            <w:sz w:val="26"/>
                          </w:rPr>
                        </w:pPr>
                      </w:p>
                      <w:p>
                        <w:pPr>
                          <w:pStyle w:val="15"/>
                          <w:ind w:left="448"/>
                          <w:rPr>
                            <w:sz w:val="24"/>
                          </w:rPr>
                        </w:pPr>
                        <w:r>
                          <w:rPr>
                            <w:sz w:val="24"/>
                          </w:rPr>
                          <w:t>品牌</w:t>
                        </w:r>
                      </w:p>
                    </w:tc>
                    <w:tc>
                      <w:tcPr>
                        <w:tcW w:w="2101" w:type="dxa"/>
                      </w:tcPr>
                      <w:p>
                        <w:pPr>
                          <w:pStyle w:val="15"/>
                          <w:rPr>
                            <w:sz w:val="26"/>
                          </w:rPr>
                        </w:pPr>
                      </w:p>
                      <w:p>
                        <w:pPr>
                          <w:pStyle w:val="15"/>
                          <w:ind w:left="789" w:right="782"/>
                          <w:jc w:val="center"/>
                          <w:rPr>
                            <w:sz w:val="24"/>
                          </w:rPr>
                        </w:pPr>
                        <w:r>
                          <w:rPr>
                            <w:sz w:val="24"/>
                          </w:rPr>
                          <w:t>规格</w:t>
                        </w:r>
                      </w:p>
                    </w:tc>
                    <w:tc>
                      <w:tcPr>
                        <w:tcW w:w="1446" w:type="dxa"/>
                      </w:tcPr>
                      <w:p>
                        <w:pPr>
                          <w:pStyle w:val="15"/>
                          <w:spacing w:before="1"/>
                          <w:rPr>
                            <w:sz w:val="24"/>
                          </w:rPr>
                        </w:pPr>
                      </w:p>
                      <w:p>
                        <w:pPr>
                          <w:pStyle w:val="15"/>
                          <w:spacing w:before="1"/>
                          <w:ind w:left="124"/>
                          <w:rPr>
                            <w:sz w:val="24"/>
                          </w:rPr>
                        </w:pPr>
                        <w:r>
                          <w:rPr>
                            <w:sz w:val="24"/>
                          </w:rPr>
                          <w:t>单价（元）</w:t>
                        </w:r>
                      </w:p>
                    </w:tc>
                    <w:tc>
                      <w:tcPr>
                        <w:tcW w:w="913" w:type="dxa"/>
                      </w:tcPr>
                      <w:p>
                        <w:pPr>
                          <w:pStyle w:val="15"/>
                          <w:spacing w:before="1"/>
                          <w:rPr>
                            <w:sz w:val="24"/>
                          </w:rPr>
                        </w:pPr>
                      </w:p>
                      <w:p>
                        <w:pPr>
                          <w:pStyle w:val="15"/>
                          <w:spacing w:before="1"/>
                          <w:ind w:left="214"/>
                          <w:rPr>
                            <w:sz w:val="24"/>
                          </w:rPr>
                        </w:pPr>
                        <w:r>
                          <w:rPr>
                            <w:sz w:val="24"/>
                          </w:rPr>
                          <w:t>单位</w:t>
                        </w:r>
                      </w:p>
                    </w:tc>
                    <w:tc>
                      <w:tcPr>
                        <w:tcW w:w="1158" w:type="dxa"/>
                      </w:tcPr>
                      <w:p>
                        <w:pPr>
                          <w:pStyle w:val="15"/>
                          <w:spacing w:before="129" w:line="280" w:lineRule="auto"/>
                          <w:ind w:left="336" w:right="209" w:hanging="120"/>
                          <w:rPr>
                            <w:sz w:val="24"/>
                          </w:rPr>
                        </w:pPr>
                        <w:r>
                          <w:rPr>
                            <w:spacing w:val="-2"/>
                            <w:sz w:val="24"/>
                          </w:rPr>
                          <w:t>预计年</w:t>
                        </w:r>
                        <w:r>
                          <w:rPr>
                            <w:sz w:val="24"/>
                          </w:rPr>
                          <w:t>用量</w:t>
                        </w:r>
                      </w:p>
                    </w:tc>
                    <w:tc>
                      <w:tcPr>
                        <w:tcW w:w="1449" w:type="dxa"/>
                      </w:tcPr>
                      <w:p>
                        <w:pPr>
                          <w:pStyle w:val="15"/>
                          <w:spacing w:before="1"/>
                          <w:rPr>
                            <w:sz w:val="24"/>
                          </w:rPr>
                        </w:pPr>
                      </w:p>
                      <w:p>
                        <w:pPr>
                          <w:pStyle w:val="15"/>
                          <w:spacing w:before="1"/>
                          <w:ind w:left="119"/>
                          <w:rPr>
                            <w:sz w:val="24"/>
                          </w:rPr>
                        </w:pPr>
                        <w:r>
                          <w:rPr>
                            <w:sz w:val="24"/>
                          </w:rPr>
                          <w:t>总价（元）</w:t>
                        </w:r>
                      </w:p>
                    </w:tc>
                    <w:tc>
                      <w:tcPr>
                        <w:tcW w:w="1592" w:type="dxa"/>
                      </w:tcPr>
                      <w:p>
                        <w:pPr>
                          <w:pStyle w:val="15"/>
                          <w:spacing w:before="129" w:line="280" w:lineRule="auto"/>
                          <w:ind w:left="309" w:right="190" w:hanging="120"/>
                          <w:rPr>
                            <w:sz w:val="24"/>
                          </w:rPr>
                        </w:pPr>
                        <w:r>
                          <w:rPr>
                            <w:spacing w:val="-1"/>
                            <w:sz w:val="24"/>
                          </w:rPr>
                          <w:t>是否江苏省</w:t>
                        </w:r>
                        <w:r>
                          <w:rPr>
                            <w:sz w:val="24"/>
                          </w:rPr>
                          <w:t>中标产品</w:t>
                        </w:r>
                      </w:p>
                    </w:tc>
                    <w:tc>
                      <w:tcPr>
                        <w:tcW w:w="1539" w:type="dxa"/>
                      </w:tcPr>
                      <w:p>
                        <w:pPr>
                          <w:pStyle w:val="15"/>
                          <w:spacing w:before="129" w:line="280" w:lineRule="auto"/>
                          <w:ind w:left="402" w:right="164" w:hanging="240"/>
                          <w:rPr>
                            <w:sz w:val="24"/>
                          </w:rPr>
                        </w:pPr>
                        <w:r>
                          <w:rPr>
                            <w:spacing w:val="-1"/>
                            <w:sz w:val="24"/>
                          </w:rPr>
                          <w:t>江苏省最低</w:t>
                        </w:r>
                        <w:r>
                          <w:rPr>
                            <w:sz w:val="24"/>
                          </w:rPr>
                          <w:t>中标价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5"/>
                          <w:spacing w:before="112"/>
                          <w:ind w:left="9"/>
                          <w:jc w:val="center"/>
                          <w:rPr>
                            <w:sz w:val="24"/>
                          </w:rPr>
                        </w:pPr>
                        <w:r>
                          <w:rPr>
                            <w:sz w:val="24"/>
                          </w:rPr>
                          <w:t>1</w:t>
                        </w:r>
                      </w:p>
                    </w:tc>
                    <w:tc>
                      <w:tcPr>
                        <w:tcW w:w="1898" w:type="dxa"/>
                        <w:gridSpan w:val="2"/>
                      </w:tcPr>
                      <w:p>
                        <w:pPr>
                          <w:pStyle w:val="15"/>
                          <w:rPr>
                            <w:rFonts w:ascii="Times New Roman"/>
                          </w:rPr>
                        </w:pPr>
                      </w:p>
                    </w:tc>
                    <w:tc>
                      <w:tcPr>
                        <w:tcW w:w="1380" w:type="dxa"/>
                      </w:tcPr>
                      <w:p>
                        <w:pPr>
                          <w:pStyle w:val="15"/>
                          <w:rPr>
                            <w:rFonts w:ascii="Times New Roman"/>
                          </w:rPr>
                        </w:pPr>
                      </w:p>
                    </w:tc>
                    <w:tc>
                      <w:tcPr>
                        <w:tcW w:w="2101" w:type="dxa"/>
                      </w:tcPr>
                      <w:p>
                        <w:pPr>
                          <w:pStyle w:val="15"/>
                          <w:rPr>
                            <w:rFonts w:ascii="Times New Roman"/>
                          </w:rPr>
                        </w:pPr>
                      </w:p>
                    </w:tc>
                    <w:tc>
                      <w:tcPr>
                        <w:tcW w:w="1446" w:type="dxa"/>
                      </w:tcPr>
                      <w:p>
                        <w:pPr>
                          <w:pStyle w:val="15"/>
                          <w:rPr>
                            <w:rFonts w:ascii="Times New Roman"/>
                          </w:rPr>
                        </w:pPr>
                      </w:p>
                    </w:tc>
                    <w:tc>
                      <w:tcPr>
                        <w:tcW w:w="913" w:type="dxa"/>
                      </w:tcPr>
                      <w:p>
                        <w:pPr>
                          <w:pStyle w:val="15"/>
                          <w:rPr>
                            <w:rFonts w:ascii="Times New Roman"/>
                          </w:rPr>
                        </w:pPr>
                      </w:p>
                    </w:tc>
                    <w:tc>
                      <w:tcPr>
                        <w:tcW w:w="1158" w:type="dxa"/>
                      </w:tcPr>
                      <w:p>
                        <w:pPr>
                          <w:pStyle w:val="15"/>
                          <w:rPr>
                            <w:rFonts w:ascii="Times New Roman"/>
                          </w:rPr>
                        </w:pPr>
                      </w:p>
                    </w:tc>
                    <w:tc>
                      <w:tcPr>
                        <w:tcW w:w="1449" w:type="dxa"/>
                      </w:tcPr>
                      <w:p>
                        <w:pPr>
                          <w:pStyle w:val="15"/>
                          <w:rPr>
                            <w:rFonts w:ascii="Times New Roman"/>
                          </w:rPr>
                        </w:pPr>
                      </w:p>
                    </w:tc>
                    <w:tc>
                      <w:tcPr>
                        <w:tcW w:w="1592" w:type="dxa"/>
                      </w:tcPr>
                      <w:p>
                        <w:pPr>
                          <w:pStyle w:val="15"/>
                          <w:rPr>
                            <w:rFonts w:ascii="Times New Roman"/>
                          </w:rPr>
                        </w:pPr>
                      </w:p>
                    </w:tc>
                    <w:tc>
                      <w:tcPr>
                        <w:tcW w:w="1539"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63" w:type="dxa"/>
                      </w:tcPr>
                      <w:p>
                        <w:pPr>
                          <w:pStyle w:val="15"/>
                          <w:spacing w:before="113" w:line="306" w:lineRule="exact"/>
                          <w:ind w:left="9"/>
                          <w:jc w:val="center"/>
                          <w:rPr>
                            <w:sz w:val="24"/>
                          </w:rPr>
                        </w:pPr>
                        <w:r>
                          <w:rPr>
                            <w:sz w:val="24"/>
                          </w:rPr>
                          <w:t>2</w:t>
                        </w:r>
                      </w:p>
                    </w:tc>
                    <w:tc>
                      <w:tcPr>
                        <w:tcW w:w="1898" w:type="dxa"/>
                        <w:gridSpan w:val="2"/>
                      </w:tcPr>
                      <w:p>
                        <w:pPr>
                          <w:pStyle w:val="15"/>
                          <w:rPr>
                            <w:rFonts w:ascii="Times New Roman"/>
                          </w:rPr>
                        </w:pPr>
                      </w:p>
                    </w:tc>
                    <w:tc>
                      <w:tcPr>
                        <w:tcW w:w="1380" w:type="dxa"/>
                      </w:tcPr>
                      <w:p>
                        <w:pPr>
                          <w:pStyle w:val="15"/>
                          <w:rPr>
                            <w:rFonts w:ascii="Times New Roman"/>
                          </w:rPr>
                        </w:pPr>
                      </w:p>
                    </w:tc>
                    <w:tc>
                      <w:tcPr>
                        <w:tcW w:w="2101" w:type="dxa"/>
                      </w:tcPr>
                      <w:p>
                        <w:pPr>
                          <w:pStyle w:val="15"/>
                          <w:rPr>
                            <w:rFonts w:ascii="Times New Roman"/>
                          </w:rPr>
                        </w:pPr>
                      </w:p>
                    </w:tc>
                    <w:tc>
                      <w:tcPr>
                        <w:tcW w:w="1446" w:type="dxa"/>
                      </w:tcPr>
                      <w:p>
                        <w:pPr>
                          <w:pStyle w:val="15"/>
                          <w:rPr>
                            <w:rFonts w:ascii="Times New Roman"/>
                          </w:rPr>
                        </w:pPr>
                      </w:p>
                    </w:tc>
                    <w:tc>
                      <w:tcPr>
                        <w:tcW w:w="913" w:type="dxa"/>
                      </w:tcPr>
                      <w:p>
                        <w:pPr>
                          <w:pStyle w:val="15"/>
                          <w:rPr>
                            <w:rFonts w:ascii="Times New Roman"/>
                          </w:rPr>
                        </w:pPr>
                      </w:p>
                    </w:tc>
                    <w:tc>
                      <w:tcPr>
                        <w:tcW w:w="1158" w:type="dxa"/>
                      </w:tcPr>
                      <w:p>
                        <w:pPr>
                          <w:pStyle w:val="15"/>
                          <w:rPr>
                            <w:rFonts w:ascii="Times New Roman"/>
                          </w:rPr>
                        </w:pPr>
                      </w:p>
                    </w:tc>
                    <w:tc>
                      <w:tcPr>
                        <w:tcW w:w="1449" w:type="dxa"/>
                      </w:tcPr>
                      <w:p>
                        <w:pPr>
                          <w:pStyle w:val="15"/>
                          <w:rPr>
                            <w:rFonts w:ascii="Times New Roman"/>
                          </w:rPr>
                        </w:pPr>
                      </w:p>
                    </w:tc>
                    <w:tc>
                      <w:tcPr>
                        <w:tcW w:w="1592" w:type="dxa"/>
                      </w:tcPr>
                      <w:p>
                        <w:pPr>
                          <w:pStyle w:val="15"/>
                          <w:rPr>
                            <w:rFonts w:ascii="Times New Roman"/>
                          </w:rPr>
                        </w:pPr>
                      </w:p>
                    </w:tc>
                    <w:tc>
                      <w:tcPr>
                        <w:tcW w:w="1539"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5"/>
                          <w:spacing w:before="112"/>
                          <w:ind w:left="9"/>
                          <w:jc w:val="center"/>
                          <w:rPr>
                            <w:sz w:val="24"/>
                          </w:rPr>
                        </w:pPr>
                        <w:r>
                          <w:rPr>
                            <w:w w:val="200"/>
                            <w:sz w:val="24"/>
                          </w:rPr>
                          <w:t>„</w:t>
                        </w:r>
                      </w:p>
                    </w:tc>
                    <w:tc>
                      <w:tcPr>
                        <w:tcW w:w="1898" w:type="dxa"/>
                        <w:gridSpan w:val="2"/>
                      </w:tcPr>
                      <w:p>
                        <w:pPr>
                          <w:pStyle w:val="15"/>
                          <w:rPr>
                            <w:rFonts w:ascii="Times New Roman"/>
                          </w:rPr>
                        </w:pPr>
                      </w:p>
                    </w:tc>
                    <w:tc>
                      <w:tcPr>
                        <w:tcW w:w="1380" w:type="dxa"/>
                      </w:tcPr>
                      <w:p>
                        <w:pPr>
                          <w:pStyle w:val="15"/>
                          <w:rPr>
                            <w:rFonts w:ascii="Times New Roman"/>
                          </w:rPr>
                        </w:pPr>
                      </w:p>
                    </w:tc>
                    <w:tc>
                      <w:tcPr>
                        <w:tcW w:w="2101" w:type="dxa"/>
                      </w:tcPr>
                      <w:p>
                        <w:pPr>
                          <w:pStyle w:val="15"/>
                          <w:rPr>
                            <w:rFonts w:ascii="Times New Roman"/>
                          </w:rPr>
                        </w:pPr>
                      </w:p>
                    </w:tc>
                    <w:tc>
                      <w:tcPr>
                        <w:tcW w:w="1446" w:type="dxa"/>
                      </w:tcPr>
                      <w:p>
                        <w:pPr>
                          <w:pStyle w:val="15"/>
                          <w:rPr>
                            <w:rFonts w:ascii="Times New Roman"/>
                          </w:rPr>
                        </w:pPr>
                      </w:p>
                    </w:tc>
                    <w:tc>
                      <w:tcPr>
                        <w:tcW w:w="913" w:type="dxa"/>
                      </w:tcPr>
                      <w:p>
                        <w:pPr>
                          <w:pStyle w:val="15"/>
                          <w:rPr>
                            <w:rFonts w:ascii="Times New Roman"/>
                          </w:rPr>
                        </w:pPr>
                      </w:p>
                    </w:tc>
                    <w:tc>
                      <w:tcPr>
                        <w:tcW w:w="1158" w:type="dxa"/>
                      </w:tcPr>
                      <w:p>
                        <w:pPr>
                          <w:pStyle w:val="15"/>
                          <w:rPr>
                            <w:rFonts w:ascii="Times New Roman"/>
                          </w:rPr>
                        </w:pPr>
                      </w:p>
                    </w:tc>
                    <w:tc>
                      <w:tcPr>
                        <w:tcW w:w="1449" w:type="dxa"/>
                      </w:tcPr>
                      <w:p>
                        <w:pPr>
                          <w:pStyle w:val="15"/>
                          <w:rPr>
                            <w:rFonts w:ascii="Times New Roman"/>
                          </w:rPr>
                        </w:pPr>
                      </w:p>
                    </w:tc>
                    <w:tc>
                      <w:tcPr>
                        <w:tcW w:w="1592" w:type="dxa"/>
                      </w:tcPr>
                      <w:p>
                        <w:pPr>
                          <w:pStyle w:val="15"/>
                          <w:rPr>
                            <w:rFonts w:ascii="Times New Roman"/>
                          </w:rPr>
                        </w:pPr>
                      </w:p>
                    </w:tc>
                    <w:tc>
                      <w:tcPr>
                        <w:tcW w:w="1539" w:type="dxa"/>
                      </w:tcPr>
                      <w:p>
                        <w:pPr>
                          <w:pStyle w:val="1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1745" w:type="dxa"/>
                        <w:gridSpan w:val="2"/>
                      </w:tcPr>
                      <w:p>
                        <w:pPr>
                          <w:pStyle w:val="15"/>
                          <w:rPr>
                            <w:sz w:val="24"/>
                          </w:rPr>
                        </w:pPr>
                      </w:p>
                      <w:p>
                        <w:pPr>
                          <w:pStyle w:val="15"/>
                          <w:spacing w:before="179"/>
                          <w:ind w:left="390"/>
                          <w:rPr>
                            <w:sz w:val="24"/>
                          </w:rPr>
                        </w:pPr>
                        <w:r>
                          <w:rPr>
                            <w:sz w:val="24"/>
                          </w:rPr>
                          <w:t>报价总计</w:t>
                        </w:r>
                      </w:p>
                    </w:tc>
                    <w:tc>
                      <w:tcPr>
                        <w:tcW w:w="12394" w:type="dxa"/>
                        <w:gridSpan w:val="9"/>
                      </w:tcPr>
                      <w:p>
                        <w:pPr>
                          <w:pStyle w:val="15"/>
                          <w:tabs>
                            <w:tab w:val="left" w:pos="4548"/>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5"/>
                          <w:spacing w:before="8"/>
                          <w:rPr>
                            <w:sz w:val="19"/>
                          </w:rPr>
                        </w:pPr>
                      </w:p>
                      <w:p>
                        <w:pPr>
                          <w:pStyle w:val="15"/>
                          <w:tabs>
                            <w:tab w:val="left" w:pos="2267"/>
                            <w:tab w:val="left" w:pos="2868"/>
                            <w:tab w:val="left" w:pos="3468"/>
                            <w:tab w:val="left" w:pos="4068"/>
                            <w:tab w:val="left" w:pos="4668"/>
                            <w:tab w:val="left" w:pos="5268"/>
                            <w:tab w:val="left" w:pos="5868"/>
                            <w:tab w:val="left" w:pos="6468"/>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v:textbox>
          </v:shape>
        </w:pict>
      </w:r>
      <w:r>
        <w:rPr>
          <w:rFonts w:hint="eastAsia" w:ascii="Microsoft YaHei UI" w:eastAsia="Microsoft YaHei UI"/>
          <w:b/>
          <w:sz w:val="32"/>
        </w:rPr>
        <w:t>配套耗材/试剂报价表</w:t>
      </w:r>
    </w:p>
    <w:p>
      <w:pPr>
        <w:wordWrap w:val="0"/>
        <w:rPr>
          <w:rFonts w:ascii="Microsoft YaHei UI" w:eastAsia="Microsoft YaHei UI"/>
          <w:sz w:val="32"/>
        </w:rPr>
        <w:sectPr>
          <w:type w:val="continuous"/>
          <w:pgSz w:w="16840" w:h="11910" w:orient="landscape"/>
          <w:pgMar w:top="1340" w:right="1300" w:bottom="960" w:left="920" w:header="720" w:footer="720" w:gutter="0"/>
          <w:cols w:equalWidth="0" w:num="2">
            <w:col w:w="2812" w:space="2802"/>
            <w:col w:w="9006"/>
          </w:cols>
        </w:sect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11" w:after="1"/>
        <w:rPr>
          <w:rFonts w:ascii="Microsoft YaHei UI"/>
          <w:b/>
          <w:sz w:val="10"/>
        </w:rPr>
      </w:pPr>
    </w:p>
    <w:p>
      <w:pPr>
        <w:pStyle w:val="2"/>
        <w:wordWrap w:val="0"/>
        <w:spacing w:line="20" w:lineRule="exact"/>
        <w:ind w:left="3887"/>
        <w:rPr>
          <w:rFonts w:ascii="Microsoft YaHei UI"/>
          <w:sz w:val="2"/>
        </w:rPr>
      </w:pPr>
      <w:r>
        <w:rPr>
          <w:rFonts w:ascii="Microsoft YaHei UI"/>
          <w:sz w:val="2"/>
        </w:rPr>
        <w:pict>
          <v:group id="_x0000_s2063" o:spid="_x0000_s2063" o:spt="203" style="height:0.6pt;width:132.05pt;" coordsize="2641,12">
            <o:lock v:ext="edit"/>
            <v:rect id="_x0000_s2064" o:spid="_x0000_s2064" o:spt="1" style="position:absolute;left:0;top:0;height:12;width:2641;" fillcolor="#000000" filled="t" stroked="f" coordsize="21600,21600">
              <v:path/>
              <v:fill on="t" focussize="0,0"/>
              <v:stroke on="f"/>
              <v:imagedata o:title=""/>
              <o:lock v:ext="edit"/>
            </v:rect>
            <w10:wrap type="none"/>
            <w10:anchorlock/>
          </v:group>
        </w:pict>
      </w:r>
    </w:p>
    <w:p>
      <w:pPr>
        <w:pStyle w:val="2"/>
        <w:wordWrap w:val="0"/>
        <w:spacing w:before="2"/>
        <w:rPr>
          <w:rFonts w:ascii="Microsoft YaHei UI"/>
          <w:b/>
          <w:sz w:val="28"/>
        </w:rPr>
      </w:pPr>
      <w:r>
        <w:pict>
          <v:rect id="_x0000_s2062" o:spid="_x0000_s2062" o:spt="1" style="position:absolute;left:0pt;margin-left:240.4pt;margin-top:26.95pt;height:0.6pt;width:18pt;mso-position-horizontal-relative:page;mso-wrap-distance-bottom:0pt;mso-wrap-distance-top:0pt;z-index:-251633664;mso-width-relative:page;mso-height-relative:page;" fillcolor="#000000" filled="t" stroked="f" coordsize="21600,21600">
            <v:path/>
            <v:fill on="t" focussize="0,0"/>
            <v:stroke on="f"/>
            <v:imagedata o:title=""/>
            <o:lock v:ext="edit"/>
            <w10:wrap type="topAndBottom"/>
          </v:rect>
        </w:pict>
      </w:r>
      <w:r>
        <w:pict>
          <v:rect id="_x0000_s2061" o:spid="_x0000_s2061" o:spt="1" style="position:absolute;left:0pt;margin-left:270.4pt;margin-top:26.95pt;height:0.6pt;width:18pt;mso-position-horizontal-relative:page;mso-wrap-distance-bottom:0pt;mso-wrap-distance-top:0pt;z-index:-251632640;mso-width-relative:page;mso-height-relative:page;" fillcolor="#000000" filled="t" stroked="f" coordsize="21600,21600">
            <v:path/>
            <v:fill on="t" focussize="0,0"/>
            <v:stroke on="f"/>
            <v:imagedata o:title=""/>
            <o:lock v:ext="edit"/>
            <w10:wrap type="topAndBottom"/>
          </v:rect>
        </w:pict>
      </w:r>
      <w:r>
        <w:pict>
          <v:rect id="_x0000_s2060" o:spid="_x0000_s2060" o:spt="1" style="position:absolute;left:0pt;margin-left:300.4pt;margin-top:26.95pt;height:0.6pt;width:18pt;mso-position-horizontal-relative:page;mso-wrap-distance-bottom:0pt;mso-wrap-distance-top:0pt;z-index:-251632640;mso-width-relative:page;mso-height-relative:page;" fillcolor="#000000" filled="t" stroked="f" coordsize="21600,21600">
            <v:path/>
            <v:fill on="t" focussize="0,0"/>
            <v:stroke on="f"/>
            <v:imagedata o:title=""/>
            <o:lock v:ext="edit"/>
            <w10:wrap type="topAndBottom"/>
          </v:rect>
        </w:pict>
      </w:r>
      <w:r>
        <w:pict>
          <v:rect id="_x0000_s2059" o:spid="_x0000_s2059" o:spt="1" style="position:absolute;left:0pt;margin-left:330.4pt;margin-top:26.95pt;height:0.6pt;width:18pt;mso-position-horizontal-relative:page;mso-wrap-distance-bottom:0pt;mso-wrap-distance-top:0pt;z-index:-251631616;mso-width-relative:page;mso-height-relative:page;" fillcolor="#000000" filled="t" stroked="f" coordsize="21600,21600">
            <v:path/>
            <v:fill on="t" focussize="0,0"/>
            <v:stroke on="f"/>
            <v:imagedata o:title=""/>
            <o:lock v:ext="edit"/>
            <w10:wrap type="topAndBottom"/>
          </v:rect>
        </w:pict>
      </w:r>
      <w:r>
        <w:pict>
          <v:rect id="_x0000_s2058" o:spid="_x0000_s2058" o:spt="1" style="position:absolute;left:0pt;margin-left:360.4pt;margin-top:26.95pt;height:0.6pt;width:18pt;mso-position-horizontal-relative:page;mso-wrap-distance-bottom:0pt;mso-wrap-distance-top:0pt;z-index:-251631616;mso-width-relative:page;mso-height-relative:page;" fillcolor="#000000" filled="t" stroked="f" coordsize="21600,21600">
            <v:path/>
            <v:fill on="t" focussize="0,0"/>
            <v:stroke on="f"/>
            <v:imagedata o:title=""/>
            <o:lock v:ext="edit"/>
            <w10:wrap type="topAndBottom"/>
          </v:rect>
        </w:pict>
      </w:r>
      <w:r>
        <w:pict>
          <v:rect id="_x0000_s2057" o:spid="_x0000_s2057" o:spt="1" style="position:absolute;left:0pt;margin-left:390.4pt;margin-top:26.95pt;height:0.6pt;width:18pt;mso-position-horizontal-relative:page;mso-wrap-distance-bottom:0pt;mso-wrap-distance-top:0pt;z-index:-251630592;mso-width-relative:page;mso-height-relative:page;" fillcolor="#000000" filled="t" stroked="f" coordsize="21600,21600">
            <v:path/>
            <v:fill on="t" focussize="0,0"/>
            <v:stroke on="f"/>
            <v:imagedata o:title=""/>
            <o:lock v:ext="edit"/>
            <w10:wrap type="topAndBottom"/>
          </v:rect>
        </w:pict>
      </w:r>
      <w:r>
        <w:pict>
          <v:rect id="_x0000_s2056" o:spid="_x0000_s2056" o:spt="1" style="position:absolute;left:0pt;margin-left:420.4pt;margin-top:26.95pt;height:0.6pt;width:18pt;mso-position-horizontal-relative:page;mso-wrap-distance-bottom:0pt;mso-wrap-distance-top:0pt;z-index:-251630592;mso-width-relative:page;mso-height-relative:page;" fillcolor="#000000" filled="t" stroked="f" coordsize="21600,21600">
            <v:path/>
            <v:fill on="t" focussize="0,0"/>
            <v:stroke on="f"/>
            <v:imagedata o:title=""/>
            <o:lock v:ext="edit"/>
            <w10:wrap type="topAndBottom"/>
          </v:rect>
        </w:pict>
      </w:r>
      <w:r>
        <w:pict>
          <v:rect id="_x0000_s2055" o:spid="_x0000_s2055" o:spt="1" style="position:absolute;left:0pt;margin-left:450.45pt;margin-top:26.95pt;height:0.6pt;width:18pt;mso-position-horizontal-relative:page;mso-wrap-distance-bottom:0pt;mso-wrap-distance-top:0pt;z-index:-251629568;mso-width-relative:page;mso-height-relative:page;" fillcolor="#000000" filled="t" stroked="f" coordsize="21600,21600">
            <v:path/>
            <v:fill on="t" focussize="0,0"/>
            <v:stroke on="f"/>
            <v:imagedata o:title=""/>
            <o:lock v:ext="edit"/>
            <w10:wrap type="topAndBottom"/>
          </v:rect>
        </w:pict>
      </w:r>
    </w:p>
    <w:p>
      <w:pPr>
        <w:pStyle w:val="2"/>
        <w:wordWrap w:val="0"/>
        <w:spacing w:before="1"/>
        <w:rPr>
          <w:rFonts w:ascii="Microsoft YaHei UI"/>
          <w:b/>
          <w:sz w:val="4"/>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pPr>
      <w:r>
        <w:t>填写说明：</w:t>
      </w:r>
    </w:p>
    <w:p>
      <w:pPr>
        <w:pStyle w:val="14"/>
        <w:numPr>
          <w:ilvl w:val="0"/>
          <w:numId w:val="41"/>
        </w:numPr>
        <w:tabs>
          <w:tab w:val="left" w:pos="341"/>
        </w:tabs>
        <w:wordWrap w:val="0"/>
        <w:spacing w:before="131" w:line="343" w:lineRule="auto"/>
        <w:ind w:right="116" w:firstLine="0"/>
        <w:rPr>
          <w:sz w:val="24"/>
        </w:rPr>
      </w:pPr>
      <w:r>
        <w:rPr>
          <w:spacing w:val="-1"/>
          <w:sz w:val="24"/>
        </w:rPr>
        <w:t>列出易损件及耗材</w:t>
      </w:r>
      <w:r>
        <w:rPr>
          <w:sz w:val="24"/>
        </w:rPr>
        <w:t>（如有，则必须填写，如无，在“耗材/配件名称”下注明“无”)；如填写“无”，则所有配件耗材视为整机配送，</w:t>
      </w:r>
      <w:r>
        <w:rPr>
          <w:spacing w:val="-117"/>
          <w:sz w:val="24"/>
        </w:rPr>
        <w:t xml:space="preserve"> </w:t>
      </w:r>
      <w:r>
        <w:rPr>
          <w:sz w:val="24"/>
        </w:rPr>
        <w:t>已包含在“十、报价一览表”总价内；</w:t>
      </w:r>
    </w:p>
    <w:p>
      <w:pPr>
        <w:pStyle w:val="14"/>
        <w:numPr>
          <w:ilvl w:val="0"/>
          <w:numId w:val="41"/>
        </w:numPr>
        <w:tabs>
          <w:tab w:val="left" w:pos="341"/>
        </w:tabs>
        <w:wordWrap w:val="0"/>
        <w:spacing w:before="2"/>
        <w:ind w:left="341"/>
        <w:rPr>
          <w:sz w:val="24"/>
        </w:rPr>
      </w:pPr>
      <w:r>
        <w:rPr>
          <w:sz w:val="24"/>
        </w:rPr>
        <w:t>本表填写的单价和总价均应包括产品价格、包装费、运输、配送、安装、调试、技术服务、专用工具等全部费用；</w:t>
      </w:r>
    </w:p>
    <w:p>
      <w:pPr>
        <w:pStyle w:val="14"/>
        <w:numPr>
          <w:ilvl w:val="0"/>
          <w:numId w:val="41"/>
        </w:numPr>
        <w:tabs>
          <w:tab w:val="left" w:pos="341"/>
        </w:tabs>
        <w:wordWrap w:val="0"/>
        <w:ind w:left="341"/>
        <w:rPr>
          <w:sz w:val="24"/>
        </w:rPr>
      </w:pPr>
      <w:r>
        <w:rPr>
          <w:sz w:val="24"/>
        </w:rPr>
        <w:t>在“是否江苏省中标产品”栏下填写“是”或“否”；</w:t>
      </w:r>
    </w:p>
    <w:p>
      <w:pPr>
        <w:pStyle w:val="14"/>
        <w:numPr>
          <w:ilvl w:val="0"/>
          <w:numId w:val="41"/>
        </w:numPr>
        <w:tabs>
          <w:tab w:val="left" w:pos="341"/>
          <w:tab w:val="left" w:pos="4235"/>
        </w:tabs>
        <w:wordWrap w:val="0"/>
        <w:spacing w:before="131" w:line="511" w:lineRule="auto"/>
        <w:ind w:right="2156" w:firstLine="0"/>
        <w:rPr>
          <w:rFonts w:ascii="Times New Roman" w:eastAsia="Times New Roman"/>
          <w:sz w:val="24"/>
        </w:rPr>
      </w:pPr>
      <w:r>
        <w:rPr>
          <w:spacing w:val="-1"/>
          <w:sz w:val="24"/>
        </w:rPr>
        <w:t>上述消耗</w:t>
      </w:r>
      <w:r>
        <w:rPr>
          <w:sz w:val="24"/>
        </w:rPr>
        <w:t>材料及易损情况是本项目综合评审的组成部分，供应商必须如实报价。本表中有漏项的,供应商可以补充。供应商名称及盖章：</w:t>
      </w:r>
      <w:r>
        <w:rPr>
          <w:rFonts w:ascii="Times New Roman" w:eastAsia="Times New Roman"/>
          <w:sz w:val="24"/>
          <w:u w:val="single"/>
        </w:rPr>
        <w:t xml:space="preserve"> </w:t>
      </w:r>
      <w:r>
        <w:rPr>
          <w:rFonts w:ascii="Times New Roman" w:eastAsia="Times New Roman"/>
          <w:sz w:val="24"/>
          <w:u w:val="single"/>
        </w:rPr>
        <w:tab/>
      </w:r>
    </w:p>
    <w:p>
      <w:pPr>
        <w:pStyle w:val="2"/>
        <w:wordWrap w:val="0"/>
        <w:spacing w:line="292" w:lineRule="exact"/>
        <w:ind w:left="100"/>
      </w:pPr>
      <w:r>
        <w:t>供应商法定代表人（或授权代表）签名：</w:t>
      </w:r>
    </w:p>
    <w:p>
      <w:pPr>
        <w:pStyle w:val="2"/>
        <w:wordWrap w:val="0"/>
        <w:rPr>
          <w:sz w:val="26"/>
        </w:rPr>
      </w:pPr>
    </w:p>
    <w:p>
      <w:pPr>
        <w:pStyle w:val="2"/>
        <w:tabs>
          <w:tab w:val="left" w:pos="1420"/>
          <w:tab w:val="left" w:pos="2140"/>
          <w:tab w:val="left" w:pos="2860"/>
        </w:tabs>
        <w:wordWrap w:val="0"/>
        <w:ind w:left="100"/>
      </w:pP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ectPr>
          <w:type w:val="continuous"/>
          <w:pgSz w:w="16840" w:h="11910" w:orient="landscape"/>
          <w:pgMar w:top="1340" w:right="1300" w:bottom="960" w:left="920" w:header="720" w:footer="720" w:gutter="0"/>
          <w:cols w:space="720" w:num="1"/>
        </w:sectPr>
      </w:pPr>
    </w:p>
    <w:p>
      <w:pPr>
        <w:pStyle w:val="2"/>
        <w:wordWrap w:val="0"/>
        <w:spacing w:before="3"/>
        <w:rPr>
          <w:sz w:val="19"/>
        </w:rPr>
      </w:pPr>
    </w:p>
    <w:p>
      <w:pPr>
        <w:wordWrap w:val="0"/>
        <w:spacing w:line="484" w:lineRule="exact"/>
        <w:ind w:left="100"/>
        <w:rPr>
          <w:rFonts w:ascii="Microsoft YaHei UI" w:eastAsia="Microsoft YaHei UI"/>
          <w:b/>
          <w:sz w:val="28"/>
        </w:rPr>
      </w:pPr>
      <w:r>
        <w:rPr>
          <w:rFonts w:hint="eastAsia" w:ascii="Microsoft YaHei UI" w:eastAsia="Microsoft YaHei UI"/>
          <w:b/>
          <w:sz w:val="28"/>
        </w:rPr>
        <w:t>九、维保期后维修报价表</w:t>
      </w:r>
    </w:p>
    <w:p>
      <w:pPr>
        <w:pStyle w:val="2"/>
        <w:wordWrap w:val="0"/>
        <w:spacing w:before="9"/>
        <w:rPr>
          <w:rFonts w:ascii="Microsoft YaHei UI"/>
          <w:b/>
          <w:sz w:val="18"/>
        </w:rPr>
      </w:pPr>
    </w:p>
    <w:p>
      <w:pPr>
        <w:wordWrap w:val="0"/>
        <w:ind w:left="5246" w:right="5382"/>
        <w:jc w:val="center"/>
        <w:rPr>
          <w:rFonts w:ascii="Microsoft YaHei UI" w:eastAsia="Microsoft YaHei UI"/>
          <w:b/>
          <w:sz w:val="32"/>
        </w:rPr>
      </w:pPr>
      <w:r>
        <w:rPr>
          <w:rFonts w:hint="eastAsia" w:ascii="Microsoft YaHei UI" w:eastAsia="Microsoft YaHei UI"/>
          <w:b/>
          <w:w w:val="95"/>
          <w:sz w:val="32"/>
        </w:rPr>
        <w:t>保修期后维护费收费标准承诺</w:t>
      </w:r>
    </w:p>
    <w:p>
      <w:pPr>
        <w:pStyle w:val="2"/>
        <w:tabs>
          <w:tab w:val="left" w:pos="1900"/>
        </w:tabs>
        <w:wordWrap w:val="0"/>
        <w:spacing w:before="39" w:line="290" w:lineRule="exact"/>
        <w:ind w:left="100"/>
      </w:pPr>
      <w:r>
        <w:t>本公司承诺</w:t>
      </w:r>
      <w:r>
        <w:rPr>
          <w:rFonts w:ascii="Times New Roman" w:eastAsia="Times New Roman"/>
          <w:u w:val="single"/>
        </w:rPr>
        <w:tab/>
      </w:r>
      <w:r>
        <w:t>年免费维保期，终身维修。免费维保期后，仅收取材料费，免路费及维修费；维修配件供货价格不高于以下价格：</w:t>
      </w:r>
    </w:p>
    <w:p>
      <w:pPr>
        <w:wordWrap w:val="0"/>
        <w:spacing w:line="552" w:lineRule="exact"/>
        <w:ind w:left="5246" w:right="5381"/>
        <w:jc w:val="center"/>
        <w:rPr>
          <w:rFonts w:ascii="Microsoft YaHei UI" w:eastAsia="Microsoft YaHei UI"/>
          <w:b/>
          <w:sz w:val="32"/>
        </w:rPr>
      </w:pPr>
      <w:r>
        <w:pict>
          <v:shape id="_x0000_s2054" o:spid="_x0000_s2054" o:spt="202" type="#_x0000_t202" style="position:absolute;left:0pt;margin-left:58.55pt;margin-top:23.75pt;height:141.9pt;width:705.1pt;mso-position-horizontal-relative:page;z-index:251663360;mso-width-relative:page;mso-height-relative:page;" filled="f" stroked="f" coordsize="21600,21600">
            <v:path/>
            <v:fill on="f" focussize="0,0"/>
            <v:stroke on="f" joinstyle="miter"/>
            <v:imagedata o:title=""/>
            <o:lock v:ext="edit"/>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566"/>
                    <w:gridCol w:w="1984"/>
                    <w:gridCol w:w="1483"/>
                    <w:gridCol w:w="1199"/>
                    <w:gridCol w:w="1754"/>
                    <w:gridCol w:w="1276"/>
                    <w:gridCol w:w="806"/>
                    <w:gridCol w:w="1035"/>
                    <w:gridCol w:w="1301"/>
                    <w:gridCol w:w="1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838" w:type="dxa"/>
                      </w:tcPr>
                      <w:p>
                        <w:pPr>
                          <w:pStyle w:val="15"/>
                          <w:spacing w:before="183"/>
                          <w:ind w:left="157" w:right="151"/>
                          <w:jc w:val="center"/>
                          <w:rPr>
                            <w:sz w:val="24"/>
                          </w:rPr>
                        </w:pPr>
                        <w:r>
                          <w:rPr>
                            <w:sz w:val="24"/>
                          </w:rPr>
                          <w:t>序号</w:t>
                        </w:r>
                      </w:p>
                    </w:tc>
                    <w:tc>
                      <w:tcPr>
                        <w:tcW w:w="2550" w:type="dxa"/>
                        <w:gridSpan w:val="2"/>
                      </w:tcPr>
                      <w:p>
                        <w:pPr>
                          <w:pStyle w:val="15"/>
                          <w:spacing w:before="183"/>
                          <w:ind w:left="794"/>
                          <w:rPr>
                            <w:sz w:val="24"/>
                          </w:rPr>
                        </w:pPr>
                        <w:r>
                          <w:rPr>
                            <w:sz w:val="24"/>
                          </w:rPr>
                          <w:t>材料名称</w:t>
                        </w:r>
                      </w:p>
                    </w:tc>
                    <w:tc>
                      <w:tcPr>
                        <w:tcW w:w="1483" w:type="dxa"/>
                      </w:tcPr>
                      <w:p>
                        <w:pPr>
                          <w:pStyle w:val="15"/>
                          <w:spacing w:before="183"/>
                          <w:ind w:left="502"/>
                          <w:rPr>
                            <w:sz w:val="24"/>
                          </w:rPr>
                        </w:pPr>
                        <w:r>
                          <w:rPr>
                            <w:sz w:val="24"/>
                          </w:rPr>
                          <w:t>产地</w:t>
                        </w:r>
                      </w:p>
                    </w:tc>
                    <w:tc>
                      <w:tcPr>
                        <w:tcW w:w="1199" w:type="dxa"/>
                      </w:tcPr>
                      <w:p>
                        <w:pPr>
                          <w:pStyle w:val="15"/>
                          <w:spacing w:before="183"/>
                          <w:ind w:left="364"/>
                          <w:rPr>
                            <w:sz w:val="24"/>
                          </w:rPr>
                        </w:pPr>
                        <w:r>
                          <w:rPr>
                            <w:sz w:val="24"/>
                          </w:rPr>
                          <w:t>品牌</w:t>
                        </w:r>
                      </w:p>
                    </w:tc>
                    <w:tc>
                      <w:tcPr>
                        <w:tcW w:w="1754" w:type="dxa"/>
                      </w:tcPr>
                      <w:p>
                        <w:pPr>
                          <w:pStyle w:val="15"/>
                          <w:spacing w:before="183"/>
                          <w:ind w:left="401"/>
                          <w:rPr>
                            <w:sz w:val="24"/>
                          </w:rPr>
                        </w:pPr>
                        <w:r>
                          <w:rPr>
                            <w:sz w:val="24"/>
                          </w:rPr>
                          <w:t>规格型号</w:t>
                        </w:r>
                      </w:p>
                    </w:tc>
                    <w:tc>
                      <w:tcPr>
                        <w:tcW w:w="1276" w:type="dxa"/>
                      </w:tcPr>
                      <w:p>
                        <w:pPr>
                          <w:pStyle w:val="15"/>
                          <w:spacing w:before="183"/>
                          <w:ind w:left="111" w:right="-29"/>
                          <w:rPr>
                            <w:sz w:val="24"/>
                          </w:rPr>
                        </w:pPr>
                        <w:r>
                          <w:rPr>
                            <w:spacing w:val="-5"/>
                            <w:sz w:val="24"/>
                          </w:rPr>
                          <w:t>单价（</w:t>
                        </w:r>
                        <w:r>
                          <w:rPr>
                            <w:spacing w:val="-4"/>
                            <w:sz w:val="24"/>
                          </w:rPr>
                          <w:t>元）</w:t>
                        </w:r>
                      </w:p>
                    </w:tc>
                    <w:tc>
                      <w:tcPr>
                        <w:tcW w:w="806" w:type="dxa"/>
                      </w:tcPr>
                      <w:p>
                        <w:pPr>
                          <w:pStyle w:val="15"/>
                          <w:spacing w:before="183"/>
                          <w:ind w:left="167"/>
                          <w:rPr>
                            <w:sz w:val="24"/>
                          </w:rPr>
                        </w:pPr>
                        <w:r>
                          <w:rPr>
                            <w:sz w:val="24"/>
                          </w:rPr>
                          <w:t>单位</w:t>
                        </w:r>
                      </w:p>
                    </w:tc>
                    <w:tc>
                      <w:tcPr>
                        <w:tcW w:w="1035" w:type="dxa"/>
                      </w:tcPr>
                      <w:p>
                        <w:pPr>
                          <w:pStyle w:val="15"/>
                          <w:spacing w:before="183"/>
                          <w:ind w:left="160"/>
                          <w:rPr>
                            <w:sz w:val="24"/>
                          </w:rPr>
                        </w:pPr>
                        <w:r>
                          <w:rPr>
                            <w:sz w:val="24"/>
                          </w:rPr>
                          <w:t>年用量</w:t>
                        </w:r>
                      </w:p>
                    </w:tc>
                    <w:tc>
                      <w:tcPr>
                        <w:tcW w:w="1301" w:type="dxa"/>
                      </w:tcPr>
                      <w:p>
                        <w:pPr>
                          <w:pStyle w:val="15"/>
                          <w:spacing w:before="183"/>
                          <w:ind w:left="112" w:right="-29"/>
                          <w:rPr>
                            <w:sz w:val="24"/>
                          </w:rPr>
                        </w:pPr>
                        <w:r>
                          <w:rPr>
                            <w:spacing w:val="-3"/>
                            <w:sz w:val="24"/>
                          </w:rPr>
                          <w:t>总价</w:t>
                        </w:r>
                        <w:r>
                          <w:rPr>
                            <w:spacing w:val="-2"/>
                            <w:sz w:val="24"/>
                          </w:rPr>
                          <w:t>（元）</w:t>
                        </w:r>
                      </w:p>
                    </w:tc>
                    <w:tc>
                      <w:tcPr>
                        <w:tcW w:w="1841" w:type="dxa"/>
                      </w:tcPr>
                      <w:p>
                        <w:pPr>
                          <w:pStyle w:val="15"/>
                          <w:spacing w:before="183"/>
                          <w:ind w:left="666" w:right="645"/>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5"/>
                          <w:spacing w:before="112"/>
                          <w:ind w:left="6"/>
                          <w:jc w:val="center"/>
                          <w:rPr>
                            <w:sz w:val="24"/>
                          </w:rPr>
                        </w:pPr>
                        <w:r>
                          <w:rPr>
                            <w:sz w:val="24"/>
                          </w:rPr>
                          <w:t>1</w:t>
                        </w:r>
                      </w:p>
                    </w:tc>
                    <w:tc>
                      <w:tcPr>
                        <w:tcW w:w="2550" w:type="dxa"/>
                        <w:gridSpan w:val="2"/>
                      </w:tcPr>
                      <w:p>
                        <w:pPr>
                          <w:pStyle w:val="15"/>
                          <w:rPr>
                            <w:rFonts w:ascii="Times New Roman"/>
                            <w:sz w:val="24"/>
                          </w:rPr>
                        </w:pPr>
                      </w:p>
                    </w:tc>
                    <w:tc>
                      <w:tcPr>
                        <w:tcW w:w="1483" w:type="dxa"/>
                      </w:tcPr>
                      <w:p>
                        <w:pPr>
                          <w:pStyle w:val="15"/>
                          <w:rPr>
                            <w:rFonts w:ascii="Times New Roman"/>
                            <w:sz w:val="24"/>
                          </w:rPr>
                        </w:pPr>
                      </w:p>
                    </w:tc>
                    <w:tc>
                      <w:tcPr>
                        <w:tcW w:w="1199" w:type="dxa"/>
                      </w:tcPr>
                      <w:p>
                        <w:pPr>
                          <w:pStyle w:val="15"/>
                          <w:rPr>
                            <w:rFonts w:ascii="Times New Roman"/>
                            <w:sz w:val="24"/>
                          </w:rPr>
                        </w:pPr>
                      </w:p>
                    </w:tc>
                    <w:tc>
                      <w:tcPr>
                        <w:tcW w:w="1754" w:type="dxa"/>
                      </w:tcPr>
                      <w:p>
                        <w:pPr>
                          <w:pStyle w:val="15"/>
                          <w:rPr>
                            <w:rFonts w:ascii="Times New Roman"/>
                            <w:sz w:val="24"/>
                          </w:rPr>
                        </w:pPr>
                      </w:p>
                    </w:tc>
                    <w:tc>
                      <w:tcPr>
                        <w:tcW w:w="1276" w:type="dxa"/>
                      </w:tcPr>
                      <w:p>
                        <w:pPr>
                          <w:pStyle w:val="15"/>
                          <w:rPr>
                            <w:rFonts w:ascii="Times New Roman"/>
                            <w:sz w:val="24"/>
                          </w:rPr>
                        </w:pPr>
                      </w:p>
                    </w:tc>
                    <w:tc>
                      <w:tcPr>
                        <w:tcW w:w="806" w:type="dxa"/>
                      </w:tcPr>
                      <w:p>
                        <w:pPr>
                          <w:pStyle w:val="15"/>
                          <w:rPr>
                            <w:rFonts w:ascii="Times New Roman"/>
                            <w:sz w:val="24"/>
                          </w:rPr>
                        </w:pPr>
                      </w:p>
                    </w:tc>
                    <w:tc>
                      <w:tcPr>
                        <w:tcW w:w="1035" w:type="dxa"/>
                      </w:tcPr>
                      <w:p>
                        <w:pPr>
                          <w:pStyle w:val="15"/>
                          <w:rPr>
                            <w:rFonts w:ascii="Times New Roman"/>
                            <w:sz w:val="24"/>
                          </w:rPr>
                        </w:pPr>
                      </w:p>
                    </w:tc>
                    <w:tc>
                      <w:tcPr>
                        <w:tcW w:w="1301" w:type="dxa"/>
                      </w:tcPr>
                      <w:p>
                        <w:pPr>
                          <w:pStyle w:val="15"/>
                          <w:rPr>
                            <w:rFonts w:ascii="Times New Roman"/>
                            <w:sz w:val="24"/>
                          </w:rPr>
                        </w:pPr>
                      </w:p>
                    </w:tc>
                    <w:tc>
                      <w:tcPr>
                        <w:tcW w:w="184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38" w:type="dxa"/>
                      </w:tcPr>
                      <w:p>
                        <w:pPr>
                          <w:pStyle w:val="15"/>
                          <w:spacing w:before="112" w:line="306" w:lineRule="exact"/>
                          <w:ind w:left="6"/>
                          <w:jc w:val="center"/>
                          <w:rPr>
                            <w:sz w:val="24"/>
                          </w:rPr>
                        </w:pPr>
                        <w:r>
                          <w:rPr>
                            <w:sz w:val="24"/>
                          </w:rPr>
                          <w:t>2</w:t>
                        </w:r>
                      </w:p>
                    </w:tc>
                    <w:tc>
                      <w:tcPr>
                        <w:tcW w:w="2550" w:type="dxa"/>
                        <w:gridSpan w:val="2"/>
                      </w:tcPr>
                      <w:p>
                        <w:pPr>
                          <w:pStyle w:val="15"/>
                          <w:rPr>
                            <w:rFonts w:ascii="Times New Roman"/>
                            <w:sz w:val="24"/>
                          </w:rPr>
                        </w:pPr>
                      </w:p>
                    </w:tc>
                    <w:tc>
                      <w:tcPr>
                        <w:tcW w:w="1483" w:type="dxa"/>
                      </w:tcPr>
                      <w:p>
                        <w:pPr>
                          <w:pStyle w:val="15"/>
                          <w:rPr>
                            <w:rFonts w:ascii="Times New Roman"/>
                            <w:sz w:val="24"/>
                          </w:rPr>
                        </w:pPr>
                      </w:p>
                    </w:tc>
                    <w:tc>
                      <w:tcPr>
                        <w:tcW w:w="1199" w:type="dxa"/>
                      </w:tcPr>
                      <w:p>
                        <w:pPr>
                          <w:pStyle w:val="15"/>
                          <w:rPr>
                            <w:rFonts w:ascii="Times New Roman"/>
                            <w:sz w:val="24"/>
                          </w:rPr>
                        </w:pPr>
                      </w:p>
                    </w:tc>
                    <w:tc>
                      <w:tcPr>
                        <w:tcW w:w="1754" w:type="dxa"/>
                      </w:tcPr>
                      <w:p>
                        <w:pPr>
                          <w:pStyle w:val="15"/>
                          <w:rPr>
                            <w:rFonts w:ascii="Times New Roman"/>
                            <w:sz w:val="24"/>
                          </w:rPr>
                        </w:pPr>
                      </w:p>
                    </w:tc>
                    <w:tc>
                      <w:tcPr>
                        <w:tcW w:w="1276" w:type="dxa"/>
                      </w:tcPr>
                      <w:p>
                        <w:pPr>
                          <w:pStyle w:val="15"/>
                          <w:rPr>
                            <w:rFonts w:ascii="Times New Roman"/>
                            <w:sz w:val="24"/>
                          </w:rPr>
                        </w:pPr>
                      </w:p>
                    </w:tc>
                    <w:tc>
                      <w:tcPr>
                        <w:tcW w:w="806" w:type="dxa"/>
                      </w:tcPr>
                      <w:p>
                        <w:pPr>
                          <w:pStyle w:val="15"/>
                          <w:rPr>
                            <w:rFonts w:ascii="Times New Roman"/>
                            <w:sz w:val="24"/>
                          </w:rPr>
                        </w:pPr>
                      </w:p>
                    </w:tc>
                    <w:tc>
                      <w:tcPr>
                        <w:tcW w:w="1035" w:type="dxa"/>
                      </w:tcPr>
                      <w:p>
                        <w:pPr>
                          <w:pStyle w:val="15"/>
                          <w:rPr>
                            <w:rFonts w:ascii="Times New Roman"/>
                            <w:sz w:val="24"/>
                          </w:rPr>
                        </w:pPr>
                      </w:p>
                    </w:tc>
                    <w:tc>
                      <w:tcPr>
                        <w:tcW w:w="1301" w:type="dxa"/>
                      </w:tcPr>
                      <w:p>
                        <w:pPr>
                          <w:pStyle w:val="15"/>
                          <w:rPr>
                            <w:rFonts w:ascii="Times New Roman"/>
                            <w:sz w:val="24"/>
                          </w:rPr>
                        </w:pPr>
                      </w:p>
                    </w:tc>
                    <w:tc>
                      <w:tcPr>
                        <w:tcW w:w="184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5"/>
                          <w:spacing w:before="112"/>
                          <w:ind w:left="6"/>
                          <w:jc w:val="center"/>
                          <w:rPr>
                            <w:sz w:val="24"/>
                          </w:rPr>
                        </w:pPr>
                        <w:r>
                          <w:rPr>
                            <w:sz w:val="24"/>
                          </w:rPr>
                          <w:t>3</w:t>
                        </w:r>
                      </w:p>
                    </w:tc>
                    <w:tc>
                      <w:tcPr>
                        <w:tcW w:w="2550" w:type="dxa"/>
                        <w:gridSpan w:val="2"/>
                      </w:tcPr>
                      <w:p>
                        <w:pPr>
                          <w:pStyle w:val="15"/>
                          <w:rPr>
                            <w:rFonts w:ascii="Times New Roman"/>
                            <w:sz w:val="24"/>
                          </w:rPr>
                        </w:pPr>
                      </w:p>
                    </w:tc>
                    <w:tc>
                      <w:tcPr>
                        <w:tcW w:w="1483" w:type="dxa"/>
                      </w:tcPr>
                      <w:p>
                        <w:pPr>
                          <w:pStyle w:val="15"/>
                          <w:rPr>
                            <w:rFonts w:ascii="Times New Roman"/>
                            <w:sz w:val="24"/>
                          </w:rPr>
                        </w:pPr>
                      </w:p>
                    </w:tc>
                    <w:tc>
                      <w:tcPr>
                        <w:tcW w:w="1199" w:type="dxa"/>
                      </w:tcPr>
                      <w:p>
                        <w:pPr>
                          <w:pStyle w:val="15"/>
                          <w:rPr>
                            <w:rFonts w:ascii="Times New Roman"/>
                            <w:sz w:val="24"/>
                          </w:rPr>
                        </w:pPr>
                      </w:p>
                    </w:tc>
                    <w:tc>
                      <w:tcPr>
                        <w:tcW w:w="1754" w:type="dxa"/>
                      </w:tcPr>
                      <w:p>
                        <w:pPr>
                          <w:pStyle w:val="15"/>
                          <w:rPr>
                            <w:rFonts w:ascii="Times New Roman"/>
                            <w:sz w:val="24"/>
                          </w:rPr>
                        </w:pPr>
                      </w:p>
                    </w:tc>
                    <w:tc>
                      <w:tcPr>
                        <w:tcW w:w="1276" w:type="dxa"/>
                      </w:tcPr>
                      <w:p>
                        <w:pPr>
                          <w:pStyle w:val="15"/>
                          <w:rPr>
                            <w:rFonts w:ascii="Times New Roman"/>
                            <w:sz w:val="24"/>
                          </w:rPr>
                        </w:pPr>
                      </w:p>
                    </w:tc>
                    <w:tc>
                      <w:tcPr>
                        <w:tcW w:w="806" w:type="dxa"/>
                      </w:tcPr>
                      <w:p>
                        <w:pPr>
                          <w:pStyle w:val="15"/>
                          <w:rPr>
                            <w:rFonts w:ascii="Times New Roman"/>
                            <w:sz w:val="24"/>
                          </w:rPr>
                        </w:pPr>
                      </w:p>
                    </w:tc>
                    <w:tc>
                      <w:tcPr>
                        <w:tcW w:w="1035" w:type="dxa"/>
                      </w:tcPr>
                      <w:p>
                        <w:pPr>
                          <w:pStyle w:val="15"/>
                          <w:rPr>
                            <w:rFonts w:ascii="Times New Roman"/>
                            <w:sz w:val="24"/>
                          </w:rPr>
                        </w:pPr>
                      </w:p>
                    </w:tc>
                    <w:tc>
                      <w:tcPr>
                        <w:tcW w:w="1301" w:type="dxa"/>
                      </w:tcPr>
                      <w:p>
                        <w:pPr>
                          <w:pStyle w:val="15"/>
                          <w:rPr>
                            <w:rFonts w:ascii="Times New Roman"/>
                            <w:sz w:val="24"/>
                          </w:rPr>
                        </w:pPr>
                      </w:p>
                    </w:tc>
                    <w:tc>
                      <w:tcPr>
                        <w:tcW w:w="184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404" w:type="dxa"/>
                        <w:gridSpan w:val="2"/>
                      </w:tcPr>
                      <w:p>
                        <w:pPr>
                          <w:pStyle w:val="15"/>
                          <w:spacing w:before="8"/>
                          <w:rPr>
                            <w:sz w:val="28"/>
                          </w:rPr>
                        </w:pPr>
                      </w:p>
                      <w:p>
                        <w:pPr>
                          <w:pStyle w:val="15"/>
                          <w:ind w:left="220"/>
                          <w:rPr>
                            <w:sz w:val="24"/>
                          </w:rPr>
                        </w:pPr>
                        <w:r>
                          <w:rPr>
                            <w:sz w:val="24"/>
                          </w:rPr>
                          <w:t>费用总计</w:t>
                        </w:r>
                      </w:p>
                    </w:tc>
                    <w:tc>
                      <w:tcPr>
                        <w:tcW w:w="12679" w:type="dxa"/>
                        <w:gridSpan w:val="9"/>
                      </w:tcPr>
                      <w:p>
                        <w:pPr>
                          <w:pStyle w:val="15"/>
                          <w:tabs>
                            <w:tab w:val="left" w:pos="4548"/>
                          </w:tabs>
                          <w:spacing w:before="112"/>
                          <w:ind w:left="108"/>
                          <w:rPr>
                            <w:sz w:val="24"/>
                          </w:rPr>
                        </w:pPr>
                        <w:r>
                          <w:rPr>
                            <w:sz w:val="24"/>
                          </w:rPr>
                          <w:t>人民币（小写</w:t>
                        </w:r>
                        <w:r>
                          <w:rPr>
                            <w:spacing w:val="-120"/>
                            <w:sz w:val="24"/>
                          </w:rPr>
                          <w:t>）</w:t>
                        </w:r>
                        <w:r>
                          <w:rPr>
                            <w:sz w:val="24"/>
                          </w:rPr>
                          <w:t>：</w:t>
                        </w:r>
                        <w:r>
                          <w:rPr>
                            <w:sz w:val="24"/>
                          </w:rPr>
                          <w:tab/>
                        </w:r>
                        <w:r>
                          <w:rPr>
                            <w:sz w:val="24"/>
                          </w:rPr>
                          <w:t>元</w:t>
                        </w:r>
                      </w:p>
                      <w:p>
                        <w:pPr>
                          <w:pStyle w:val="15"/>
                          <w:tabs>
                            <w:tab w:val="left" w:pos="2268"/>
                            <w:tab w:val="left" w:pos="2868"/>
                            <w:tab w:val="left" w:pos="3468"/>
                            <w:tab w:val="left" w:pos="4068"/>
                            <w:tab w:val="left" w:pos="4668"/>
                            <w:tab w:val="left" w:pos="5268"/>
                            <w:tab w:val="left" w:pos="5868"/>
                            <w:tab w:val="left" w:pos="6469"/>
                          </w:tabs>
                          <w:spacing w:before="132"/>
                          <w:ind w:left="108"/>
                          <w:rPr>
                            <w:sz w:val="24"/>
                          </w:rPr>
                        </w:pPr>
                        <w:r>
                          <w:rPr>
                            <w:sz w:val="24"/>
                          </w:rPr>
                          <w:t>人民币（大写</w:t>
                        </w:r>
                        <w:r>
                          <w:rPr>
                            <w:spacing w:val="-120"/>
                            <w:sz w:val="24"/>
                          </w:rPr>
                          <w:t>）</w:t>
                        </w:r>
                        <w:r>
                          <w:rPr>
                            <w:sz w:val="24"/>
                          </w:rPr>
                          <w:t>：</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万</w:t>
                        </w:r>
                        <w:r>
                          <w:rPr>
                            <w:rFonts w:ascii="Times New Roman" w:eastAsia="Times New Roman"/>
                            <w:sz w:val="24"/>
                            <w:u w:val="single"/>
                          </w:rPr>
                          <w:t xml:space="preserve"> </w:t>
                        </w:r>
                        <w:r>
                          <w:rPr>
                            <w:rFonts w:ascii="Times New Roman" w:eastAsia="Times New Roman"/>
                            <w:sz w:val="24"/>
                            <w:u w:val="single"/>
                          </w:rPr>
                          <w:tab/>
                        </w:r>
                        <w:r>
                          <w:rPr>
                            <w:sz w:val="24"/>
                          </w:rPr>
                          <w:t>仟</w:t>
                        </w:r>
                        <w:r>
                          <w:rPr>
                            <w:rFonts w:ascii="Times New Roman" w:eastAsia="Times New Roman"/>
                            <w:sz w:val="24"/>
                            <w:u w:val="single"/>
                          </w:rPr>
                          <w:t xml:space="preserve"> </w:t>
                        </w:r>
                        <w:r>
                          <w:rPr>
                            <w:rFonts w:ascii="Times New Roman" w:eastAsia="Times New Roman"/>
                            <w:sz w:val="24"/>
                            <w:u w:val="single"/>
                          </w:rPr>
                          <w:tab/>
                        </w:r>
                        <w:r>
                          <w:rPr>
                            <w:sz w:val="24"/>
                          </w:rPr>
                          <w:t>佰</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圆</w:t>
                        </w:r>
                        <w:r>
                          <w:rPr>
                            <w:rFonts w:ascii="Times New Roman" w:eastAsia="Times New Roman"/>
                            <w:sz w:val="24"/>
                            <w:u w:val="single"/>
                          </w:rPr>
                          <w:t xml:space="preserve"> </w:t>
                        </w:r>
                        <w:r>
                          <w:rPr>
                            <w:rFonts w:ascii="Times New Roman" w:eastAsia="Times New Roman"/>
                            <w:sz w:val="24"/>
                            <w:u w:val="single"/>
                          </w:rPr>
                          <w:tab/>
                        </w:r>
                        <w:r>
                          <w:rPr>
                            <w:sz w:val="24"/>
                          </w:rPr>
                          <w:t>角</w:t>
                        </w:r>
                        <w:r>
                          <w:rPr>
                            <w:rFonts w:ascii="Times New Roman" w:eastAsia="Times New Roman"/>
                            <w:sz w:val="24"/>
                            <w:u w:val="single"/>
                          </w:rPr>
                          <w:t xml:space="preserve"> </w:t>
                        </w:r>
                        <w:r>
                          <w:rPr>
                            <w:rFonts w:ascii="Times New Roman" w:eastAsia="Times New Roman"/>
                            <w:sz w:val="24"/>
                            <w:u w:val="single"/>
                          </w:rPr>
                          <w:tab/>
                        </w:r>
                        <w:r>
                          <w:rPr>
                            <w:sz w:val="24"/>
                          </w:rPr>
                          <w:t>分</w:t>
                        </w:r>
                      </w:p>
                    </w:tc>
                  </w:tr>
                </w:tbl>
                <w:p>
                  <w:pPr>
                    <w:pStyle w:val="2"/>
                  </w:pPr>
                </w:p>
              </w:txbxContent>
            </v:textbox>
          </v:shape>
        </w:pict>
      </w:r>
      <w:r>
        <w:rPr>
          <w:rFonts w:hint="eastAsia" w:ascii="Microsoft YaHei UI" w:eastAsia="Microsoft YaHei UI"/>
          <w:b/>
          <w:w w:val="95"/>
          <w:sz w:val="32"/>
        </w:rPr>
        <w:t>保修期后易损配件价格表</w:t>
      </w: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16"/>
        <w:rPr>
          <w:rFonts w:ascii="Microsoft YaHei UI"/>
          <w:b/>
          <w:sz w:val="25"/>
        </w:rPr>
      </w:pPr>
      <w:r>
        <w:pict>
          <v:rect id="_x0000_s2053" o:spid="_x0000_s2053" o:spt="1" style="position:absolute;left:0pt;margin-left:224.4pt;margin-top:25pt;height:0.6pt;width:132pt;mso-position-horizontal-relative:page;mso-wrap-distance-bottom:0pt;mso-wrap-distance-top:0pt;z-index:-251628544;mso-width-relative:page;mso-height-relative:page;" fillcolor="#000000" filled="t" stroked="f" coordsize="21600,21600">
            <v:path/>
            <v:fill on="t" focussize="0,0"/>
            <v:stroke on="f"/>
            <v:imagedata o:title=""/>
            <o:lock v:ext="edit"/>
            <w10:wrap type="topAndBottom"/>
          </v:rect>
        </w:pict>
      </w:r>
    </w:p>
    <w:p>
      <w:pPr>
        <w:pStyle w:val="2"/>
        <w:wordWrap w:val="0"/>
        <w:rPr>
          <w:rFonts w:ascii="Microsoft YaHei UI"/>
          <w:b/>
          <w:sz w:val="32"/>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tabs>
          <w:tab w:val="left" w:pos="4235"/>
        </w:tabs>
        <w:wordWrap w:val="0"/>
        <w:ind w:left="10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420"/>
          <w:tab w:val="left" w:pos="2140"/>
          <w:tab w:val="left" w:pos="2860"/>
        </w:tabs>
        <w:wordWrap w:val="0"/>
        <w:spacing w:before="67" w:line="499" w:lineRule="auto"/>
        <w:ind w:left="100" w:right="10196"/>
        <w:rPr>
          <w:rFonts w:ascii="宋体" w:hAnsi="宋体" w:eastAsia="宋体" w:cs="宋体"/>
        </w:rPr>
      </w:pPr>
      <w:r>
        <w:rPr>
          <w:rFonts w:hint="eastAsia" w:ascii="宋体" w:hAnsi="宋体" w:eastAsia="宋体" w:cs="宋体"/>
          <w:spacing w:val="-1"/>
        </w:rPr>
        <w:t>供应商法</w:t>
      </w:r>
      <w:r>
        <w:rPr>
          <w:rFonts w:hint="eastAsia" w:ascii="宋体" w:hAnsi="宋体" w:eastAsia="宋体" w:cs="宋体"/>
        </w:rPr>
        <w:t>定代表人（或授权代表）签名：</w:t>
      </w:r>
      <w:r>
        <w:rPr>
          <w:spacing w:val="-117"/>
        </w:rPr>
        <w:t xml:space="preserve"> </w:t>
      </w:r>
      <w:r>
        <w:rPr>
          <w:rFonts w:hint="eastAsia" w:ascii="宋体" w:hAnsi="宋体" w:eastAsia="宋体" w:cs="宋体"/>
        </w:rPr>
        <w:t>日期：</w:t>
      </w:r>
      <w:r>
        <w:rPr>
          <w:rFonts w:ascii="Times New Roman" w:eastAsia="Times New Roman"/>
          <w:u w:val="single"/>
        </w:rPr>
        <w:tab/>
      </w:r>
      <w:r>
        <w:rPr>
          <w:rFonts w:hint="eastAsia" w:ascii="宋体" w:hAnsi="宋体" w:eastAsia="宋体" w:cs="宋体"/>
        </w:rPr>
        <w:t>年</w:t>
      </w:r>
      <w:r>
        <w:rPr>
          <w:rFonts w:ascii="Times New Roman" w:eastAsia="Times New Roman"/>
          <w:u w:val="single"/>
        </w:rPr>
        <w:tab/>
      </w:r>
      <w:r>
        <w:rPr>
          <w:rFonts w:hint="eastAsia" w:ascii="宋体" w:hAnsi="宋体" w:eastAsia="宋体" w:cs="宋体"/>
        </w:rPr>
        <w:t>月</w:t>
      </w:r>
      <w:r>
        <w:rPr>
          <w:rFonts w:ascii="Times New Roman" w:eastAsia="Times New Roman"/>
          <w:u w:val="single"/>
        </w:rPr>
        <w:tab/>
      </w:r>
      <w:r>
        <w:rPr>
          <w:rFonts w:hint="eastAsia" w:ascii="宋体" w:hAnsi="宋体" w:eastAsia="宋体" w:cs="宋体"/>
        </w:rPr>
        <w:t>日</w:t>
      </w:r>
    </w:p>
    <w:p>
      <w:pPr>
        <w:pStyle w:val="2"/>
        <w:tabs>
          <w:tab w:val="left" w:pos="1420"/>
          <w:tab w:val="left" w:pos="2140"/>
          <w:tab w:val="left" w:pos="2860"/>
        </w:tabs>
        <w:wordWrap w:val="0"/>
        <w:spacing w:before="67" w:line="499" w:lineRule="auto"/>
        <w:ind w:left="100" w:right="10196"/>
        <w:rPr>
          <w:rFonts w:ascii="宋体" w:hAnsi="宋体" w:eastAsia="宋体" w:cs="宋体"/>
        </w:rPr>
      </w:pPr>
    </w:p>
    <w:p>
      <w:pPr>
        <w:pStyle w:val="2"/>
        <w:tabs>
          <w:tab w:val="left" w:pos="1420"/>
          <w:tab w:val="left" w:pos="2140"/>
          <w:tab w:val="left" w:pos="2860"/>
        </w:tabs>
        <w:wordWrap w:val="0"/>
        <w:spacing w:before="67" w:line="499" w:lineRule="auto"/>
        <w:ind w:left="100" w:right="10196"/>
        <w:sectPr>
          <w:pgSz w:w="16840" w:h="11910" w:orient="landscape"/>
          <w:pgMar w:top="1340" w:right="1300" w:bottom="960" w:left="920" w:header="877" w:footer="771" w:gutter="0"/>
          <w:cols w:space="720" w:num="1"/>
        </w:sectPr>
      </w:pPr>
    </w:p>
    <w:p>
      <w:pPr>
        <w:wordWrap w:val="0"/>
        <w:spacing w:before="27" w:line="163" w:lineRule="exact"/>
        <w:ind w:right="220"/>
        <w:jc w:val="center"/>
        <w:rPr>
          <w:sz w:val="18"/>
        </w:rPr>
      </w:pPr>
      <w:r>
        <w:pict>
          <v:rect id="_x0000_s2052" o:spid="_x0000_s2052" o:spt="1" style="position:absolute;left:0pt;margin-left:78pt;margin-top:14.05pt;height:0.7pt;width:445.15pt;mso-position-horizontal-relative:page;mso-wrap-distance-bottom:0pt;mso-wrap-distance-top:0pt;z-index:-251627520;mso-width-relative:page;mso-height-relative:page;" fillcolor="#000000" filled="t" stroked="f" coordsize="21600,21600">
            <v:path/>
            <v:fill on="t" focussize="0,0"/>
            <v:stroke on="f"/>
            <v:imagedata o:title=""/>
            <o:lock v:ext="edit"/>
            <w10:wrap type="topAndBottom"/>
          </v:rect>
        </w:pict>
      </w:r>
      <w:r>
        <w:rPr>
          <w:sz w:val="18"/>
        </w:rPr>
        <w:t>竞争性磋商文件</w:t>
      </w:r>
    </w:p>
    <w:p>
      <w:pPr>
        <w:tabs>
          <w:tab w:val="left" w:pos="2207"/>
        </w:tabs>
        <w:wordWrap w:val="0"/>
        <w:spacing w:line="579" w:lineRule="exact"/>
        <w:ind w:right="223"/>
        <w:jc w:val="center"/>
        <w:rPr>
          <w:rFonts w:ascii="Microsoft YaHei UI" w:eastAsia="Microsoft YaHei UI"/>
          <w:b/>
          <w:sz w:val="44"/>
        </w:rPr>
      </w:pPr>
      <w:r>
        <w:rPr>
          <w:rFonts w:hint="eastAsia" w:ascii="Microsoft YaHei UI" w:eastAsia="Microsoft YaHei UI"/>
          <w:b/>
          <w:sz w:val="44"/>
        </w:rPr>
        <w:t>第三部分</w:t>
      </w:r>
      <w:r>
        <w:rPr>
          <w:rFonts w:hint="eastAsia" w:ascii="Microsoft YaHei UI" w:eastAsia="Microsoft YaHei UI"/>
          <w:b/>
          <w:sz w:val="44"/>
        </w:rPr>
        <w:tab/>
      </w:r>
      <w:r>
        <w:rPr>
          <w:rFonts w:hint="eastAsia" w:ascii="Microsoft YaHei UI" w:eastAsia="Microsoft YaHei UI"/>
          <w:b/>
          <w:w w:val="95"/>
          <w:sz w:val="44"/>
        </w:rPr>
        <w:t>技术部分</w:t>
      </w:r>
    </w:p>
    <w:p>
      <w:pPr>
        <w:wordWrap w:val="0"/>
        <w:spacing w:before="116"/>
        <w:ind w:left="229"/>
        <w:rPr>
          <w:rFonts w:ascii="Microsoft YaHei UI" w:eastAsia="Microsoft YaHei UI"/>
          <w:b/>
          <w:sz w:val="28"/>
        </w:rPr>
      </w:pPr>
      <w:r>
        <w:rPr>
          <w:rFonts w:hint="eastAsia" w:ascii="Microsoft YaHei UI" w:eastAsia="Microsoft YaHei UI"/>
          <w:b/>
          <w:sz w:val="28"/>
        </w:rPr>
        <w:t>十、技术条款响应表</w:t>
      </w:r>
    </w:p>
    <w:p>
      <w:pPr>
        <w:wordWrap w:val="0"/>
        <w:spacing w:before="164"/>
        <w:ind w:right="218"/>
        <w:jc w:val="center"/>
        <w:rPr>
          <w:rFonts w:ascii="Microsoft YaHei UI" w:eastAsia="Microsoft YaHei UI"/>
          <w:b/>
          <w:sz w:val="32"/>
        </w:rPr>
      </w:pPr>
      <w:r>
        <w:rPr>
          <w:rFonts w:hint="eastAsia" w:ascii="Microsoft YaHei UI" w:eastAsia="Microsoft YaHei UI"/>
          <w:b/>
          <w:w w:val="95"/>
          <w:sz w:val="32"/>
        </w:rPr>
        <w:t>技术条款响应表</w:t>
      </w:r>
    </w:p>
    <w:p>
      <w:pPr>
        <w:pStyle w:val="2"/>
        <w:wordWrap w:val="0"/>
        <w:spacing w:before="9"/>
        <w:rPr>
          <w:rFonts w:ascii="Microsoft YaHei UI"/>
          <w:b/>
          <w:sz w:val="11"/>
        </w:rPr>
      </w:pPr>
    </w:p>
    <w:tbl>
      <w:tblPr>
        <w:tblStyle w:val="9"/>
        <w:tblW w:w="0" w:type="auto"/>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2597"/>
        <w:gridCol w:w="2834"/>
        <w:gridCol w:w="1185"/>
        <w:gridCol w:w="1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06" w:type="dxa"/>
          </w:tcPr>
          <w:p>
            <w:pPr>
              <w:pStyle w:val="15"/>
              <w:wordWrap w:val="0"/>
              <w:spacing w:before="112"/>
              <w:ind w:left="89" w:right="187"/>
              <w:jc w:val="center"/>
              <w:rPr>
                <w:sz w:val="24"/>
              </w:rPr>
            </w:pPr>
            <w:r>
              <w:rPr>
                <w:sz w:val="24"/>
              </w:rPr>
              <w:t>序号</w:t>
            </w:r>
          </w:p>
        </w:tc>
        <w:tc>
          <w:tcPr>
            <w:tcW w:w="2597" w:type="dxa"/>
          </w:tcPr>
          <w:p>
            <w:pPr>
              <w:pStyle w:val="15"/>
              <w:wordWrap w:val="0"/>
              <w:spacing w:before="112"/>
              <w:ind w:left="576"/>
              <w:rPr>
                <w:sz w:val="24"/>
              </w:rPr>
            </w:pPr>
            <w:r>
              <w:rPr>
                <w:sz w:val="24"/>
              </w:rPr>
              <w:t>采购需求参数</w:t>
            </w:r>
          </w:p>
        </w:tc>
        <w:tc>
          <w:tcPr>
            <w:tcW w:w="2834" w:type="dxa"/>
          </w:tcPr>
          <w:p>
            <w:pPr>
              <w:pStyle w:val="15"/>
              <w:wordWrap w:val="0"/>
              <w:spacing w:before="112"/>
              <w:ind w:left="454"/>
              <w:rPr>
                <w:sz w:val="24"/>
              </w:rPr>
            </w:pPr>
            <w:r>
              <w:rPr>
                <w:sz w:val="24"/>
              </w:rPr>
              <w:t>响应产品实际参数</w:t>
            </w:r>
          </w:p>
        </w:tc>
        <w:tc>
          <w:tcPr>
            <w:tcW w:w="1185" w:type="dxa"/>
          </w:tcPr>
          <w:p>
            <w:pPr>
              <w:pStyle w:val="15"/>
              <w:wordWrap w:val="0"/>
              <w:spacing w:before="112"/>
              <w:ind w:left="106"/>
              <w:rPr>
                <w:sz w:val="24"/>
              </w:rPr>
            </w:pPr>
            <w:r>
              <w:rPr>
                <w:sz w:val="24"/>
              </w:rPr>
              <w:t>是否偏离</w:t>
            </w:r>
          </w:p>
        </w:tc>
        <w:tc>
          <w:tcPr>
            <w:tcW w:w="1529" w:type="dxa"/>
          </w:tcPr>
          <w:p>
            <w:pPr>
              <w:pStyle w:val="15"/>
              <w:wordWrap w:val="0"/>
              <w:spacing w:before="112"/>
              <w:ind w:left="285"/>
              <w:rPr>
                <w:sz w:val="24"/>
              </w:rPr>
            </w:pPr>
            <w:r>
              <w:rPr>
                <w:sz w:val="24"/>
              </w:rPr>
              <w:t>偏离简述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6" w:type="dxa"/>
          </w:tcPr>
          <w:p>
            <w:pPr>
              <w:pStyle w:val="15"/>
              <w:wordWrap w:val="0"/>
              <w:spacing w:before="112" w:line="306" w:lineRule="exact"/>
              <w:ind w:left="10"/>
              <w:jc w:val="center"/>
              <w:rPr>
                <w:sz w:val="24"/>
              </w:rPr>
            </w:pPr>
            <w:r>
              <w:rPr>
                <w:sz w:val="24"/>
              </w:rPr>
              <w:t>1</w:t>
            </w:r>
          </w:p>
        </w:tc>
        <w:tc>
          <w:tcPr>
            <w:tcW w:w="2597" w:type="dxa"/>
          </w:tcPr>
          <w:p>
            <w:pPr>
              <w:pStyle w:val="15"/>
              <w:wordWrap w:val="0"/>
              <w:rPr>
                <w:rFonts w:ascii="Times New Roman"/>
                <w:sz w:val="24"/>
              </w:rPr>
            </w:pPr>
          </w:p>
        </w:tc>
        <w:tc>
          <w:tcPr>
            <w:tcW w:w="2834" w:type="dxa"/>
          </w:tcPr>
          <w:p>
            <w:pPr>
              <w:pStyle w:val="15"/>
              <w:wordWrap w:val="0"/>
              <w:rPr>
                <w:rFonts w:ascii="Times New Roman"/>
                <w:sz w:val="24"/>
              </w:rPr>
            </w:pPr>
          </w:p>
        </w:tc>
        <w:tc>
          <w:tcPr>
            <w:tcW w:w="1185" w:type="dxa"/>
          </w:tcPr>
          <w:p>
            <w:pPr>
              <w:pStyle w:val="15"/>
              <w:wordWrap w:val="0"/>
              <w:rPr>
                <w:rFonts w:ascii="Times New Roman"/>
                <w:sz w:val="24"/>
              </w:rPr>
            </w:pPr>
          </w:p>
        </w:tc>
        <w:tc>
          <w:tcPr>
            <w:tcW w:w="1529" w:type="dxa"/>
          </w:tcPr>
          <w:p>
            <w:pPr>
              <w:pStyle w:val="15"/>
              <w:wordWrap w:val="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06" w:type="dxa"/>
          </w:tcPr>
          <w:p>
            <w:pPr>
              <w:pStyle w:val="15"/>
              <w:wordWrap w:val="0"/>
              <w:spacing w:before="112"/>
              <w:ind w:left="10"/>
              <w:jc w:val="center"/>
              <w:rPr>
                <w:sz w:val="24"/>
              </w:rPr>
            </w:pPr>
            <w:r>
              <w:rPr>
                <w:sz w:val="24"/>
              </w:rPr>
              <w:t>2</w:t>
            </w:r>
          </w:p>
        </w:tc>
        <w:tc>
          <w:tcPr>
            <w:tcW w:w="2597" w:type="dxa"/>
          </w:tcPr>
          <w:p>
            <w:pPr>
              <w:pStyle w:val="15"/>
              <w:wordWrap w:val="0"/>
              <w:rPr>
                <w:rFonts w:ascii="Times New Roman"/>
                <w:sz w:val="24"/>
              </w:rPr>
            </w:pPr>
          </w:p>
        </w:tc>
        <w:tc>
          <w:tcPr>
            <w:tcW w:w="2834" w:type="dxa"/>
          </w:tcPr>
          <w:p>
            <w:pPr>
              <w:pStyle w:val="15"/>
              <w:wordWrap w:val="0"/>
              <w:rPr>
                <w:rFonts w:ascii="Times New Roman"/>
                <w:sz w:val="24"/>
              </w:rPr>
            </w:pPr>
          </w:p>
        </w:tc>
        <w:tc>
          <w:tcPr>
            <w:tcW w:w="1185" w:type="dxa"/>
          </w:tcPr>
          <w:p>
            <w:pPr>
              <w:pStyle w:val="15"/>
              <w:wordWrap w:val="0"/>
              <w:rPr>
                <w:rFonts w:ascii="Times New Roman"/>
                <w:sz w:val="24"/>
              </w:rPr>
            </w:pPr>
          </w:p>
        </w:tc>
        <w:tc>
          <w:tcPr>
            <w:tcW w:w="1529" w:type="dxa"/>
          </w:tcPr>
          <w:p>
            <w:pPr>
              <w:pStyle w:val="15"/>
              <w:wordWrap w:val="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6" w:type="dxa"/>
          </w:tcPr>
          <w:p>
            <w:pPr>
              <w:pStyle w:val="15"/>
              <w:wordWrap w:val="0"/>
              <w:spacing w:before="112" w:line="306" w:lineRule="exact"/>
              <w:ind w:left="10"/>
              <w:jc w:val="center"/>
              <w:rPr>
                <w:sz w:val="24"/>
              </w:rPr>
            </w:pPr>
            <w:r>
              <w:rPr>
                <w:w w:val="200"/>
                <w:sz w:val="24"/>
              </w:rPr>
              <w:t>„</w:t>
            </w:r>
          </w:p>
        </w:tc>
        <w:tc>
          <w:tcPr>
            <w:tcW w:w="2597" w:type="dxa"/>
          </w:tcPr>
          <w:p>
            <w:pPr>
              <w:pStyle w:val="15"/>
              <w:wordWrap w:val="0"/>
              <w:rPr>
                <w:rFonts w:ascii="Times New Roman"/>
                <w:sz w:val="24"/>
              </w:rPr>
            </w:pPr>
          </w:p>
        </w:tc>
        <w:tc>
          <w:tcPr>
            <w:tcW w:w="2834" w:type="dxa"/>
          </w:tcPr>
          <w:p>
            <w:pPr>
              <w:pStyle w:val="15"/>
              <w:wordWrap w:val="0"/>
              <w:rPr>
                <w:rFonts w:ascii="Times New Roman"/>
                <w:sz w:val="24"/>
              </w:rPr>
            </w:pPr>
          </w:p>
        </w:tc>
        <w:tc>
          <w:tcPr>
            <w:tcW w:w="1185" w:type="dxa"/>
          </w:tcPr>
          <w:p>
            <w:pPr>
              <w:pStyle w:val="15"/>
              <w:wordWrap w:val="0"/>
              <w:rPr>
                <w:rFonts w:ascii="Times New Roman"/>
                <w:sz w:val="24"/>
              </w:rPr>
            </w:pPr>
          </w:p>
        </w:tc>
        <w:tc>
          <w:tcPr>
            <w:tcW w:w="1529" w:type="dxa"/>
          </w:tcPr>
          <w:p>
            <w:pPr>
              <w:pStyle w:val="15"/>
              <w:wordWrap w:val="0"/>
              <w:rPr>
                <w:rFonts w:ascii="Times New Roman"/>
                <w:sz w:val="24"/>
              </w:rPr>
            </w:pPr>
          </w:p>
        </w:tc>
      </w:tr>
    </w:tbl>
    <w:p>
      <w:pPr>
        <w:pStyle w:val="2"/>
        <w:wordWrap w:val="0"/>
        <w:spacing w:before="113"/>
        <w:ind w:left="229"/>
      </w:pPr>
      <w:r>
        <w:t>填写说明：</w:t>
      </w:r>
    </w:p>
    <w:p>
      <w:pPr>
        <w:pStyle w:val="14"/>
        <w:numPr>
          <w:ilvl w:val="1"/>
          <w:numId w:val="41"/>
        </w:numPr>
        <w:tabs>
          <w:tab w:val="left" w:pos="472"/>
        </w:tabs>
        <w:wordWrap w:val="0"/>
        <w:spacing w:before="134" w:line="343" w:lineRule="auto"/>
        <w:ind w:right="326" w:firstLine="0"/>
        <w:rPr>
          <w:sz w:val="24"/>
        </w:rPr>
      </w:pPr>
      <w:r>
        <w:rPr>
          <w:sz w:val="24"/>
        </w:rPr>
        <w:t>供应商必须对应竞争性磋商文件采购需求部分“采购项目技术规格、参数及要求”</w:t>
      </w:r>
      <w:r>
        <w:rPr>
          <w:spacing w:val="-117"/>
          <w:sz w:val="24"/>
        </w:rPr>
        <w:t xml:space="preserve"> </w:t>
      </w:r>
      <w:r>
        <w:rPr>
          <w:sz w:val="24"/>
        </w:rPr>
        <w:t>的内容逐条响应。如有缺漏，缺漏项视同不符合竞争性磋商要求；</w:t>
      </w:r>
    </w:p>
    <w:p>
      <w:pPr>
        <w:pStyle w:val="14"/>
        <w:numPr>
          <w:ilvl w:val="1"/>
          <w:numId w:val="41"/>
        </w:numPr>
        <w:tabs>
          <w:tab w:val="left" w:pos="471"/>
        </w:tabs>
        <w:wordWrap w:val="0"/>
        <w:spacing w:before="0" w:line="306" w:lineRule="exact"/>
        <w:ind w:left="470" w:hanging="242"/>
        <w:rPr>
          <w:sz w:val="24"/>
        </w:rPr>
      </w:pPr>
      <w:r>
        <w:rPr>
          <w:sz w:val="24"/>
        </w:rPr>
        <w:t>供应商应按响应产品、服务实际数据填写，不能照抄竞争性磋商要求；</w:t>
      </w:r>
    </w:p>
    <w:p>
      <w:pPr>
        <w:pStyle w:val="14"/>
        <w:numPr>
          <w:ilvl w:val="1"/>
          <w:numId w:val="41"/>
        </w:numPr>
        <w:tabs>
          <w:tab w:val="left" w:pos="471"/>
        </w:tabs>
        <w:wordWrap w:val="0"/>
        <w:spacing w:before="134"/>
        <w:ind w:left="470" w:hanging="242"/>
        <w:rPr>
          <w:sz w:val="24"/>
        </w:rPr>
      </w:pPr>
      <w:r>
        <w:rPr>
          <w:spacing w:val="-9"/>
          <w:sz w:val="24"/>
        </w:rPr>
        <w:t>供应商根据实际响应情况在“是否偏离”栏内填写“正偏</w:t>
      </w:r>
      <w:r>
        <w:rPr>
          <w:spacing w:val="-32"/>
          <w:sz w:val="24"/>
        </w:rPr>
        <w:t>、“负偏离”或“无偏离”；</w:t>
      </w:r>
    </w:p>
    <w:p>
      <w:pPr>
        <w:pStyle w:val="14"/>
        <w:numPr>
          <w:ilvl w:val="1"/>
          <w:numId w:val="41"/>
        </w:numPr>
        <w:tabs>
          <w:tab w:val="left" w:pos="472"/>
        </w:tabs>
        <w:wordWrap w:val="0"/>
        <w:spacing w:before="131" w:line="343" w:lineRule="auto"/>
        <w:ind w:right="326" w:firstLine="0"/>
        <w:rPr>
          <w:sz w:val="24"/>
        </w:rPr>
      </w:pPr>
      <w:r>
        <w:rPr>
          <w:sz w:val="24"/>
        </w:rPr>
        <w:t>供应商响应采购需求应具体、明确。含糊不清、不确切或伪造、变造证明材料的，</w:t>
      </w:r>
      <w:r>
        <w:rPr>
          <w:spacing w:val="-117"/>
          <w:sz w:val="24"/>
        </w:rPr>
        <w:t xml:space="preserve"> </w:t>
      </w:r>
      <w:r>
        <w:rPr>
          <w:sz w:val="24"/>
        </w:rPr>
        <w:t>按照不完全响应或者完全不响应处理。构成提供虚假材料的，移送监管部门查处；</w:t>
      </w:r>
      <w:r>
        <w:rPr>
          <w:spacing w:val="1"/>
          <w:sz w:val="24"/>
        </w:rPr>
        <w:t xml:space="preserve"> </w:t>
      </w:r>
      <w:r>
        <w:rPr>
          <w:sz w:val="24"/>
        </w:rPr>
        <w:t>5.本表内容不得擅自修改。</w:t>
      </w:r>
    </w:p>
    <w:p>
      <w:pPr>
        <w:pStyle w:val="2"/>
        <w:wordWrap w:val="0"/>
      </w:pPr>
    </w:p>
    <w:p>
      <w:pPr>
        <w:pStyle w:val="2"/>
        <w:wordWrap w:val="0"/>
      </w:pPr>
    </w:p>
    <w:p>
      <w:pPr>
        <w:pStyle w:val="2"/>
        <w:wordWrap w:val="0"/>
      </w:pPr>
    </w:p>
    <w:p>
      <w:pPr>
        <w:pStyle w:val="2"/>
        <w:wordWrap w:val="0"/>
      </w:pPr>
    </w:p>
    <w:p>
      <w:pPr>
        <w:pStyle w:val="2"/>
        <w:wordWrap w:val="0"/>
      </w:pPr>
    </w:p>
    <w:p>
      <w:pPr>
        <w:pStyle w:val="2"/>
        <w:wordWrap w:val="0"/>
      </w:pPr>
    </w:p>
    <w:p>
      <w:pPr>
        <w:pStyle w:val="2"/>
        <w:wordWrap w:val="0"/>
        <w:spacing w:before="8"/>
        <w:rPr>
          <w:sz w:val="22"/>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1"/>
        <w:rPr>
          <w:rFonts w:ascii="Times New Roman"/>
          <w:sz w:val="23"/>
        </w:rPr>
      </w:pPr>
    </w:p>
    <w:p>
      <w:pPr>
        <w:pStyle w:val="2"/>
        <w:tabs>
          <w:tab w:val="left" w:pos="1549"/>
          <w:tab w:val="left" w:pos="2269"/>
          <w:tab w:val="left" w:pos="2989"/>
        </w:tabs>
        <w:wordWrap w:val="0"/>
        <w:spacing w:before="66"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headerReference r:id="rId19" w:type="default"/>
          <w:footerReference r:id="rId20" w:type="default"/>
          <w:pgSz w:w="11910" w:h="16840"/>
          <w:pgMar w:top="1280" w:right="1020" w:bottom="280" w:left="1360" w:header="877" w:footer="0" w:gutter="0"/>
          <w:cols w:space="720" w:num="1"/>
        </w:sectPr>
      </w:pPr>
    </w:p>
    <w:p>
      <w:pPr>
        <w:pStyle w:val="2"/>
        <w:wordWrap w:val="0"/>
        <w:spacing w:before="10"/>
        <w:rPr>
          <w:sz w:val="10"/>
        </w:rPr>
      </w:pPr>
    </w:p>
    <w:p>
      <w:pPr>
        <w:wordWrap w:val="0"/>
        <w:spacing w:line="415" w:lineRule="auto"/>
        <w:ind w:left="229" w:right="5921"/>
        <w:rPr>
          <w:rFonts w:ascii="Microsoft YaHei UI" w:eastAsia="Microsoft YaHei UI"/>
          <w:b/>
          <w:sz w:val="28"/>
        </w:rPr>
      </w:pPr>
      <w:r>
        <w:rPr>
          <w:rFonts w:hint="eastAsia" w:ascii="Microsoft YaHei UI" w:eastAsia="Microsoft YaHei UI"/>
          <w:b/>
          <w:sz w:val="28"/>
        </w:rPr>
        <w:t>十一、品牌影响力证明材料十二、说明书或彩页</w:t>
      </w:r>
    </w:p>
    <w:p>
      <w:pPr>
        <w:wordWrap w:val="0"/>
        <w:spacing w:line="415" w:lineRule="auto"/>
        <w:rPr>
          <w:rFonts w:ascii="Microsoft YaHei UI" w:eastAsia="Microsoft YaHei UI"/>
          <w:sz w:val="28"/>
        </w:rPr>
        <w:sectPr>
          <w:headerReference r:id="rId21" w:type="default"/>
          <w:footerReference r:id="rId22" w:type="default"/>
          <w:pgSz w:w="11910" w:h="16840"/>
          <w:pgMar w:top="1340" w:right="1020" w:bottom="960" w:left="1360" w:header="877" w:footer="770" w:gutter="0"/>
          <w:pgNumType w:start="45"/>
          <w:cols w:space="720" w:num="1"/>
        </w:sectPr>
      </w:pPr>
    </w:p>
    <w:p>
      <w:pPr>
        <w:wordWrap w:val="0"/>
        <w:spacing w:line="482" w:lineRule="exact"/>
        <w:ind w:left="229"/>
        <w:rPr>
          <w:rFonts w:ascii="Microsoft YaHei UI" w:eastAsia="Microsoft YaHei UI"/>
          <w:b/>
          <w:sz w:val="28"/>
        </w:rPr>
      </w:pPr>
      <w:r>
        <w:rPr>
          <w:rFonts w:hint="eastAsia" w:ascii="Microsoft YaHei UI" w:eastAsia="Microsoft YaHei UI"/>
          <w:b/>
          <w:sz w:val="28"/>
        </w:rPr>
        <w:t>十三、售后服务方案</w:t>
      </w:r>
    </w:p>
    <w:p>
      <w:pPr>
        <w:pStyle w:val="2"/>
        <w:wordWrap w:val="0"/>
        <w:spacing w:before="5"/>
        <w:rPr>
          <w:rFonts w:ascii="Microsoft YaHei UI"/>
          <w:b/>
          <w:sz w:val="27"/>
        </w:rPr>
      </w:pPr>
      <w:r>
        <w:br w:type="column"/>
      </w:r>
    </w:p>
    <w:p>
      <w:pPr>
        <w:wordWrap w:val="0"/>
        <w:ind w:left="85"/>
        <w:rPr>
          <w:rFonts w:ascii="Microsoft YaHei UI" w:eastAsia="Microsoft YaHei UI"/>
          <w:b/>
          <w:sz w:val="32"/>
        </w:rPr>
      </w:pPr>
      <w:r>
        <w:rPr>
          <w:rFonts w:hint="eastAsia" w:ascii="Microsoft YaHei UI" w:eastAsia="Microsoft YaHei UI"/>
          <w:b/>
          <w:w w:val="95"/>
          <w:sz w:val="32"/>
        </w:rPr>
        <w:t>售后服务方案及培训方案</w:t>
      </w:r>
    </w:p>
    <w:p>
      <w:pPr>
        <w:wordWrap w:val="0"/>
        <w:rPr>
          <w:rFonts w:ascii="Microsoft YaHei UI" w:eastAsia="Microsoft YaHei UI"/>
          <w:sz w:val="32"/>
        </w:rPr>
        <w:sectPr>
          <w:type w:val="continuous"/>
          <w:pgSz w:w="11910" w:h="16840"/>
          <w:pgMar w:top="1340" w:right="1020" w:bottom="960" w:left="1360" w:header="720" w:footer="720" w:gutter="0"/>
          <w:cols w:equalWidth="0" w:num="2">
            <w:col w:w="2759" w:space="40"/>
            <w:col w:w="6731"/>
          </w:cols>
        </w:sectPr>
      </w:pPr>
    </w:p>
    <w:p>
      <w:pPr>
        <w:pStyle w:val="2"/>
        <w:wordWrap w:val="0"/>
        <w:spacing w:before="8"/>
        <w:rPr>
          <w:rFonts w:ascii="Microsoft YaHei UI"/>
          <w:b/>
          <w:sz w:val="15"/>
        </w:rPr>
      </w:pPr>
    </w:p>
    <w:p>
      <w:pPr>
        <w:pStyle w:val="2"/>
        <w:wordWrap w:val="0"/>
        <w:spacing w:before="66" w:line="343" w:lineRule="auto"/>
        <w:ind w:left="229" w:right="448" w:firstLine="479"/>
      </w:pPr>
      <w:r>
        <w:rPr>
          <w:spacing w:val="-1"/>
        </w:rPr>
        <w:t>售后服务方案及培训方案设计必须科学合理、真实可行，能充分体现出自身售后</w:t>
      </w:r>
      <w:r>
        <w:t>服务及培训优势。其要点和主要内容为：</w:t>
      </w:r>
    </w:p>
    <w:p>
      <w:pPr>
        <w:pStyle w:val="2"/>
        <w:wordWrap w:val="0"/>
        <w:spacing w:before="11"/>
        <w:rPr>
          <w:sz w:val="21"/>
        </w:rPr>
      </w:pPr>
    </w:p>
    <w:p>
      <w:pPr>
        <w:pStyle w:val="14"/>
        <w:numPr>
          <w:ilvl w:val="0"/>
          <w:numId w:val="42"/>
        </w:numPr>
        <w:tabs>
          <w:tab w:val="left" w:pos="590"/>
        </w:tabs>
        <w:wordWrap w:val="0"/>
        <w:spacing w:before="0"/>
        <w:ind w:hanging="361"/>
        <w:rPr>
          <w:sz w:val="24"/>
        </w:rPr>
      </w:pPr>
      <w:r>
        <w:rPr>
          <w:sz w:val="24"/>
        </w:rPr>
        <w:t>售后服务方案简介</w:t>
      </w:r>
    </w:p>
    <w:p>
      <w:pPr>
        <w:pStyle w:val="2"/>
        <w:wordWrap w:val="0"/>
      </w:pPr>
    </w:p>
    <w:p>
      <w:pPr>
        <w:pStyle w:val="2"/>
        <w:wordWrap w:val="0"/>
      </w:pPr>
    </w:p>
    <w:p>
      <w:pPr>
        <w:pStyle w:val="2"/>
        <w:wordWrap w:val="0"/>
      </w:pPr>
    </w:p>
    <w:p>
      <w:pPr>
        <w:pStyle w:val="14"/>
        <w:numPr>
          <w:ilvl w:val="0"/>
          <w:numId w:val="42"/>
        </w:numPr>
        <w:tabs>
          <w:tab w:val="left" w:pos="590"/>
        </w:tabs>
        <w:wordWrap w:val="0"/>
        <w:spacing w:before="210"/>
        <w:ind w:hanging="361"/>
        <w:rPr>
          <w:sz w:val="24"/>
        </w:rPr>
      </w:pPr>
      <w:r>
        <w:rPr>
          <w:sz w:val="24"/>
        </w:rPr>
        <w:t>培训详细方案</w:t>
      </w:r>
    </w:p>
    <w:p>
      <w:pPr>
        <w:pStyle w:val="2"/>
        <w:wordWrap w:val="0"/>
      </w:pPr>
    </w:p>
    <w:p>
      <w:pPr>
        <w:pStyle w:val="2"/>
        <w:wordWrap w:val="0"/>
      </w:pPr>
    </w:p>
    <w:p>
      <w:pPr>
        <w:pStyle w:val="2"/>
        <w:wordWrap w:val="0"/>
        <w:spacing w:before="3"/>
        <w:rPr>
          <w:sz w:val="35"/>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2"/>
        <w:rPr>
          <w:rFonts w:ascii="Times New Roman"/>
          <w:sz w:val="23"/>
        </w:rPr>
      </w:pPr>
    </w:p>
    <w:p>
      <w:pPr>
        <w:pStyle w:val="2"/>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type w:val="continuous"/>
          <w:pgSz w:w="11910" w:h="16840"/>
          <w:pgMar w:top="1340" w:right="1020" w:bottom="960" w:left="1360" w:header="720" w:footer="720" w:gutter="0"/>
          <w:cols w:space="720" w:num="1"/>
        </w:sectPr>
      </w:pPr>
    </w:p>
    <w:p>
      <w:pPr>
        <w:tabs>
          <w:tab w:val="left" w:pos="2207"/>
        </w:tabs>
        <w:wordWrap w:val="0"/>
        <w:spacing w:line="642" w:lineRule="exact"/>
        <w:ind w:right="223"/>
        <w:jc w:val="center"/>
        <w:rPr>
          <w:rFonts w:ascii="Microsoft YaHei UI" w:eastAsia="Microsoft YaHei UI"/>
          <w:b/>
          <w:sz w:val="44"/>
        </w:rPr>
      </w:pPr>
      <w:r>
        <w:rPr>
          <w:rFonts w:hint="eastAsia" w:ascii="Microsoft YaHei UI" w:eastAsia="Microsoft YaHei UI"/>
          <w:b/>
          <w:sz w:val="44"/>
        </w:rPr>
        <w:t>第四部分</w:t>
      </w:r>
      <w:r>
        <w:rPr>
          <w:rFonts w:hint="eastAsia" w:ascii="Microsoft YaHei UI" w:eastAsia="Microsoft YaHei UI"/>
          <w:b/>
          <w:sz w:val="44"/>
        </w:rPr>
        <w:tab/>
      </w:r>
      <w:r>
        <w:rPr>
          <w:rFonts w:hint="eastAsia" w:ascii="Microsoft YaHei UI" w:eastAsia="Microsoft YaHei UI"/>
          <w:b/>
          <w:w w:val="95"/>
          <w:sz w:val="44"/>
        </w:rPr>
        <w:t>商务部分</w:t>
      </w:r>
    </w:p>
    <w:p>
      <w:pPr>
        <w:pStyle w:val="2"/>
        <w:wordWrap w:val="0"/>
        <w:spacing w:before="12"/>
        <w:rPr>
          <w:rFonts w:ascii="Microsoft YaHei UI"/>
          <w:b/>
          <w:sz w:val="8"/>
        </w:rPr>
      </w:pPr>
    </w:p>
    <w:p>
      <w:pPr>
        <w:wordWrap w:val="0"/>
        <w:rPr>
          <w:rFonts w:ascii="Microsoft YaHei UI"/>
          <w:sz w:val="8"/>
        </w:rPr>
        <w:sectPr>
          <w:pgSz w:w="11910" w:h="16840"/>
          <w:pgMar w:top="1340" w:right="1020" w:bottom="960" w:left="1360" w:header="877" w:footer="770" w:gutter="0"/>
          <w:cols w:space="720" w:num="1"/>
        </w:sectPr>
      </w:pPr>
    </w:p>
    <w:p>
      <w:pPr>
        <w:wordWrap w:val="0"/>
        <w:spacing w:line="484" w:lineRule="exact"/>
        <w:ind w:left="229"/>
        <w:rPr>
          <w:rFonts w:ascii="Microsoft YaHei UI" w:eastAsia="Microsoft YaHei UI"/>
          <w:b/>
          <w:sz w:val="28"/>
        </w:rPr>
      </w:pPr>
      <w:r>
        <w:rPr>
          <w:rFonts w:hint="eastAsia" w:ascii="Microsoft YaHei UI" w:eastAsia="Microsoft YaHei UI"/>
          <w:b/>
          <w:sz w:val="28"/>
        </w:rPr>
        <w:t>十四、供应商基本信息</w:t>
      </w:r>
    </w:p>
    <w:p>
      <w:pPr>
        <w:pStyle w:val="2"/>
        <w:wordWrap w:val="0"/>
        <w:spacing w:before="1"/>
        <w:rPr>
          <w:rFonts w:ascii="Microsoft YaHei UI"/>
          <w:b/>
          <w:sz w:val="21"/>
        </w:rPr>
      </w:pPr>
      <w:r>
        <w:br w:type="column"/>
      </w:r>
    </w:p>
    <w:p>
      <w:pPr>
        <w:wordWrap w:val="0"/>
        <w:ind w:left="229"/>
        <w:rPr>
          <w:rFonts w:ascii="Microsoft YaHei UI" w:eastAsia="Microsoft YaHei UI"/>
          <w:b/>
          <w:sz w:val="32"/>
        </w:rPr>
      </w:pPr>
      <w:r>
        <w:pict>
          <v:shape id="_x0000_s2051" o:spid="_x0000_s2051" o:spt="202" type="#_x0000_t202" style="position:absolute;left:0pt;margin-left:73.8pt;margin-top:24.65pt;height:350.45pt;width:454.65pt;mso-position-horizontal-relative:page;z-index:251664384;mso-width-relative:page;mso-height-relative:page;" filled="f" stroked="f" coordsize="21600,21600">
            <v:path/>
            <v:fill on="f" focussize="0,0"/>
            <v:stroke on="f" joinstyle="miter"/>
            <v:imagedata o:title=""/>
            <o:lock v:ext="edit"/>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3010"/>
                    <w:gridCol w:w="1534"/>
                    <w:gridCol w:w="3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5"/>
                          <w:spacing w:before="151"/>
                          <w:ind w:left="143" w:right="136"/>
                          <w:jc w:val="center"/>
                          <w:rPr>
                            <w:sz w:val="24"/>
                          </w:rPr>
                        </w:pPr>
                        <w:r>
                          <w:rPr>
                            <w:sz w:val="24"/>
                          </w:rPr>
                          <w:t>供应商名称</w:t>
                        </w:r>
                      </w:p>
                    </w:tc>
                    <w:tc>
                      <w:tcPr>
                        <w:tcW w:w="7549" w:type="dxa"/>
                        <w:gridSpan w:val="3"/>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529" w:type="dxa"/>
                      </w:tcPr>
                      <w:p>
                        <w:pPr>
                          <w:pStyle w:val="15"/>
                          <w:spacing w:before="160"/>
                          <w:ind w:left="143" w:right="136"/>
                          <w:jc w:val="center"/>
                          <w:rPr>
                            <w:sz w:val="24"/>
                          </w:rPr>
                        </w:pPr>
                        <w:r>
                          <w:rPr>
                            <w:sz w:val="24"/>
                          </w:rPr>
                          <w:t>法定代表人</w:t>
                        </w:r>
                      </w:p>
                    </w:tc>
                    <w:tc>
                      <w:tcPr>
                        <w:tcW w:w="3010" w:type="dxa"/>
                      </w:tcPr>
                      <w:p>
                        <w:pPr>
                          <w:pStyle w:val="15"/>
                          <w:rPr>
                            <w:rFonts w:ascii="Times New Roman"/>
                            <w:sz w:val="24"/>
                          </w:rPr>
                        </w:pPr>
                      </w:p>
                    </w:tc>
                    <w:tc>
                      <w:tcPr>
                        <w:tcW w:w="1534" w:type="dxa"/>
                      </w:tcPr>
                      <w:p>
                        <w:pPr>
                          <w:pStyle w:val="15"/>
                          <w:spacing w:before="112"/>
                          <w:ind w:left="105"/>
                          <w:rPr>
                            <w:sz w:val="24"/>
                          </w:rPr>
                        </w:pPr>
                        <w:r>
                          <w:rPr>
                            <w:sz w:val="24"/>
                          </w:rPr>
                          <w:t>注册地区</w:t>
                        </w:r>
                      </w:p>
                    </w:tc>
                    <w:tc>
                      <w:tcPr>
                        <w:tcW w:w="300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5"/>
                          <w:spacing w:before="151"/>
                          <w:ind w:left="142" w:right="136"/>
                          <w:jc w:val="center"/>
                          <w:rPr>
                            <w:sz w:val="24"/>
                          </w:rPr>
                        </w:pPr>
                        <w:r>
                          <w:rPr>
                            <w:sz w:val="24"/>
                          </w:rPr>
                          <w:t>地址</w:t>
                        </w:r>
                      </w:p>
                    </w:tc>
                    <w:tc>
                      <w:tcPr>
                        <w:tcW w:w="3010" w:type="dxa"/>
                      </w:tcPr>
                      <w:p>
                        <w:pPr>
                          <w:pStyle w:val="15"/>
                          <w:rPr>
                            <w:rFonts w:ascii="Times New Roman"/>
                            <w:sz w:val="24"/>
                          </w:rPr>
                        </w:pPr>
                      </w:p>
                    </w:tc>
                    <w:tc>
                      <w:tcPr>
                        <w:tcW w:w="1534" w:type="dxa"/>
                      </w:tcPr>
                      <w:p>
                        <w:pPr>
                          <w:pStyle w:val="15"/>
                          <w:spacing w:before="115"/>
                          <w:ind w:left="105"/>
                          <w:rPr>
                            <w:sz w:val="24"/>
                          </w:rPr>
                        </w:pPr>
                        <w:r>
                          <w:rPr>
                            <w:sz w:val="24"/>
                          </w:rPr>
                          <w:t>邮政编码</w:t>
                        </w:r>
                      </w:p>
                    </w:tc>
                    <w:tc>
                      <w:tcPr>
                        <w:tcW w:w="300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5"/>
                          <w:spacing w:before="151"/>
                          <w:ind w:left="143" w:right="136"/>
                          <w:jc w:val="center"/>
                          <w:rPr>
                            <w:sz w:val="24"/>
                          </w:rPr>
                        </w:pPr>
                        <w:r>
                          <w:rPr>
                            <w:sz w:val="24"/>
                          </w:rPr>
                          <w:t>成立时间</w:t>
                        </w:r>
                      </w:p>
                    </w:tc>
                    <w:tc>
                      <w:tcPr>
                        <w:tcW w:w="3010" w:type="dxa"/>
                      </w:tcPr>
                      <w:p>
                        <w:pPr>
                          <w:pStyle w:val="15"/>
                          <w:rPr>
                            <w:rFonts w:ascii="Times New Roman"/>
                            <w:sz w:val="24"/>
                          </w:rPr>
                        </w:pPr>
                      </w:p>
                    </w:tc>
                    <w:tc>
                      <w:tcPr>
                        <w:tcW w:w="1534" w:type="dxa"/>
                      </w:tcPr>
                      <w:p>
                        <w:pPr>
                          <w:pStyle w:val="15"/>
                          <w:spacing w:before="112"/>
                          <w:ind w:left="105"/>
                          <w:rPr>
                            <w:sz w:val="24"/>
                          </w:rPr>
                        </w:pPr>
                        <w:r>
                          <w:rPr>
                            <w:sz w:val="24"/>
                          </w:rPr>
                          <w:t>单位性质</w:t>
                        </w:r>
                      </w:p>
                    </w:tc>
                    <w:tc>
                      <w:tcPr>
                        <w:tcW w:w="300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1529" w:type="dxa"/>
                      </w:tcPr>
                      <w:p>
                        <w:pPr>
                          <w:pStyle w:val="15"/>
                          <w:spacing w:before="64" w:line="440" w:lineRule="atLeast"/>
                          <w:ind w:left="163" w:right="155"/>
                          <w:rPr>
                            <w:sz w:val="24"/>
                          </w:rPr>
                        </w:pPr>
                        <w:r>
                          <w:rPr>
                            <w:spacing w:val="-2"/>
                            <w:sz w:val="24"/>
                          </w:rPr>
                          <w:t>注册号或社会信用代码</w:t>
                        </w:r>
                      </w:p>
                    </w:tc>
                    <w:tc>
                      <w:tcPr>
                        <w:tcW w:w="3010" w:type="dxa"/>
                      </w:tcPr>
                      <w:p>
                        <w:pPr>
                          <w:pStyle w:val="15"/>
                          <w:rPr>
                            <w:rFonts w:ascii="Times New Roman"/>
                            <w:sz w:val="24"/>
                          </w:rPr>
                        </w:pPr>
                      </w:p>
                    </w:tc>
                    <w:tc>
                      <w:tcPr>
                        <w:tcW w:w="1534" w:type="dxa"/>
                      </w:tcPr>
                      <w:p>
                        <w:pPr>
                          <w:pStyle w:val="15"/>
                          <w:spacing w:before="113"/>
                          <w:ind w:left="105"/>
                          <w:rPr>
                            <w:sz w:val="24"/>
                          </w:rPr>
                        </w:pPr>
                        <w:r>
                          <w:rPr>
                            <w:sz w:val="24"/>
                          </w:rPr>
                          <w:t>注 册 资 本</w:t>
                        </w:r>
                      </w:p>
                      <w:p>
                        <w:pPr>
                          <w:pStyle w:val="15"/>
                          <w:spacing w:before="132"/>
                          <w:ind w:left="105"/>
                          <w:rPr>
                            <w:sz w:val="24"/>
                          </w:rPr>
                        </w:pPr>
                        <w:r>
                          <w:rPr>
                            <w:sz w:val="24"/>
                          </w:rPr>
                          <w:t>（万元）</w:t>
                        </w:r>
                      </w:p>
                    </w:tc>
                    <w:tc>
                      <w:tcPr>
                        <w:tcW w:w="300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529" w:type="dxa"/>
                      </w:tcPr>
                      <w:p>
                        <w:pPr>
                          <w:pStyle w:val="15"/>
                          <w:spacing w:before="160"/>
                          <w:ind w:left="143" w:right="136"/>
                          <w:jc w:val="center"/>
                          <w:rPr>
                            <w:sz w:val="24"/>
                          </w:rPr>
                        </w:pPr>
                        <w:r>
                          <w:rPr>
                            <w:sz w:val="24"/>
                          </w:rPr>
                          <w:t>供应商类别</w:t>
                        </w:r>
                      </w:p>
                    </w:tc>
                    <w:tc>
                      <w:tcPr>
                        <w:tcW w:w="3010" w:type="dxa"/>
                      </w:tcPr>
                      <w:p>
                        <w:pPr>
                          <w:pStyle w:val="15"/>
                          <w:rPr>
                            <w:rFonts w:ascii="Times New Roman"/>
                            <w:sz w:val="24"/>
                          </w:rPr>
                        </w:pPr>
                      </w:p>
                    </w:tc>
                    <w:tc>
                      <w:tcPr>
                        <w:tcW w:w="1534" w:type="dxa"/>
                      </w:tcPr>
                      <w:p>
                        <w:pPr>
                          <w:pStyle w:val="15"/>
                          <w:spacing w:before="160"/>
                          <w:ind w:left="285"/>
                          <w:rPr>
                            <w:sz w:val="24"/>
                          </w:rPr>
                        </w:pPr>
                        <w:r>
                          <w:rPr>
                            <w:sz w:val="24"/>
                          </w:rPr>
                          <w:t>诚信等级</w:t>
                        </w:r>
                      </w:p>
                    </w:tc>
                    <w:tc>
                      <w:tcPr>
                        <w:tcW w:w="300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529" w:type="dxa"/>
                      </w:tcPr>
                      <w:p>
                        <w:pPr>
                          <w:pStyle w:val="15"/>
                          <w:spacing w:before="148"/>
                          <w:ind w:left="143" w:right="136"/>
                          <w:jc w:val="center"/>
                          <w:rPr>
                            <w:sz w:val="24"/>
                          </w:rPr>
                        </w:pPr>
                        <w:r>
                          <w:rPr>
                            <w:sz w:val="24"/>
                          </w:rPr>
                          <w:t>开户银行</w:t>
                        </w:r>
                      </w:p>
                    </w:tc>
                    <w:tc>
                      <w:tcPr>
                        <w:tcW w:w="3010" w:type="dxa"/>
                      </w:tcPr>
                      <w:p>
                        <w:pPr>
                          <w:pStyle w:val="15"/>
                          <w:rPr>
                            <w:rFonts w:ascii="Times New Roman"/>
                            <w:sz w:val="24"/>
                          </w:rPr>
                        </w:pPr>
                      </w:p>
                    </w:tc>
                    <w:tc>
                      <w:tcPr>
                        <w:tcW w:w="1534" w:type="dxa"/>
                      </w:tcPr>
                      <w:p>
                        <w:pPr>
                          <w:pStyle w:val="15"/>
                          <w:spacing w:before="148"/>
                          <w:ind w:left="505" w:right="499"/>
                          <w:jc w:val="center"/>
                          <w:rPr>
                            <w:sz w:val="24"/>
                          </w:rPr>
                        </w:pPr>
                        <w:r>
                          <w:rPr>
                            <w:sz w:val="24"/>
                          </w:rPr>
                          <w:t>账号</w:t>
                        </w:r>
                      </w:p>
                    </w:tc>
                    <w:tc>
                      <w:tcPr>
                        <w:tcW w:w="300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5"/>
                          <w:spacing w:before="151"/>
                          <w:ind w:left="143" w:right="136"/>
                          <w:jc w:val="center"/>
                          <w:rPr>
                            <w:sz w:val="24"/>
                          </w:rPr>
                        </w:pPr>
                        <w:r>
                          <w:rPr>
                            <w:sz w:val="24"/>
                          </w:rPr>
                          <w:t>联系人</w:t>
                        </w:r>
                      </w:p>
                    </w:tc>
                    <w:tc>
                      <w:tcPr>
                        <w:tcW w:w="3010" w:type="dxa"/>
                      </w:tcPr>
                      <w:p>
                        <w:pPr>
                          <w:pStyle w:val="15"/>
                          <w:rPr>
                            <w:rFonts w:ascii="Times New Roman"/>
                            <w:sz w:val="24"/>
                          </w:rPr>
                        </w:pPr>
                      </w:p>
                    </w:tc>
                    <w:tc>
                      <w:tcPr>
                        <w:tcW w:w="1534" w:type="dxa"/>
                      </w:tcPr>
                      <w:p>
                        <w:pPr>
                          <w:pStyle w:val="15"/>
                          <w:spacing w:before="115"/>
                          <w:ind w:left="105"/>
                          <w:rPr>
                            <w:sz w:val="24"/>
                          </w:rPr>
                        </w:pPr>
                        <w:r>
                          <w:rPr>
                            <w:sz w:val="24"/>
                          </w:rPr>
                          <w:t>联系电话</w:t>
                        </w:r>
                      </w:p>
                    </w:tc>
                    <w:tc>
                      <w:tcPr>
                        <w:tcW w:w="3005"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1529" w:type="dxa"/>
                      </w:tcPr>
                      <w:p>
                        <w:pPr>
                          <w:pStyle w:val="15"/>
                          <w:rPr>
                            <w:rFonts w:ascii="Microsoft YaHei UI"/>
                            <w:b/>
                            <w:sz w:val="24"/>
                          </w:rPr>
                        </w:pPr>
                      </w:p>
                      <w:p>
                        <w:pPr>
                          <w:pStyle w:val="15"/>
                          <w:spacing w:before="17"/>
                          <w:rPr>
                            <w:rFonts w:ascii="Microsoft YaHei UI"/>
                            <w:b/>
                            <w:sz w:val="12"/>
                          </w:rPr>
                        </w:pPr>
                      </w:p>
                      <w:p>
                        <w:pPr>
                          <w:pStyle w:val="15"/>
                          <w:ind w:left="143" w:right="136"/>
                          <w:jc w:val="center"/>
                          <w:rPr>
                            <w:sz w:val="24"/>
                          </w:rPr>
                        </w:pPr>
                        <w:r>
                          <w:rPr>
                            <w:sz w:val="24"/>
                          </w:rPr>
                          <w:t>经营范围</w:t>
                        </w:r>
                      </w:p>
                    </w:tc>
                    <w:tc>
                      <w:tcPr>
                        <w:tcW w:w="7549" w:type="dxa"/>
                        <w:gridSpan w:val="3"/>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529" w:type="dxa"/>
                      </w:tcPr>
                      <w:p>
                        <w:pPr>
                          <w:pStyle w:val="15"/>
                          <w:spacing w:before="3"/>
                          <w:rPr>
                            <w:rFonts w:ascii="Microsoft YaHei UI"/>
                            <w:b/>
                            <w:sz w:val="13"/>
                          </w:rPr>
                        </w:pPr>
                      </w:p>
                      <w:p>
                        <w:pPr>
                          <w:pStyle w:val="15"/>
                          <w:ind w:left="142" w:right="136"/>
                          <w:jc w:val="center"/>
                          <w:rPr>
                            <w:sz w:val="24"/>
                          </w:rPr>
                        </w:pPr>
                        <w:r>
                          <w:rPr>
                            <w:sz w:val="24"/>
                          </w:rPr>
                          <w:t>备注</w:t>
                        </w:r>
                      </w:p>
                    </w:tc>
                    <w:tc>
                      <w:tcPr>
                        <w:tcW w:w="7549" w:type="dxa"/>
                        <w:gridSpan w:val="3"/>
                      </w:tcPr>
                      <w:p>
                        <w:pPr>
                          <w:pStyle w:val="15"/>
                          <w:rPr>
                            <w:rFonts w:ascii="Times New Roman"/>
                            <w:sz w:val="24"/>
                          </w:rPr>
                        </w:pPr>
                      </w:p>
                    </w:tc>
                  </w:tr>
                </w:tbl>
                <w:p>
                  <w:pPr>
                    <w:pStyle w:val="2"/>
                  </w:pPr>
                </w:p>
              </w:txbxContent>
            </v:textbox>
          </v:shape>
        </w:pict>
      </w:r>
      <w:r>
        <w:rPr>
          <w:rFonts w:hint="eastAsia" w:ascii="Microsoft YaHei UI" w:eastAsia="Microsoft YaHei UI"/>
          <w:b/>
          <w:w w:val="95"/>
          <w:sz w:val="32"/>
        </w:rPr>
        <w:t>供应商基本情况</w:t>
      </w:r>
    </w:p>
    <w:p>
      <w:pPr>
        <w:wordWrap w:val="0"/>
        <w:rPr>
          <w:rFonts w:ascii="Microsoft YaHei UI" w:eastAsia="Microsoft YaHei UI"/>
          <w:sz w:val="32"/>
        </w:rPr>
        <w:sectPr>
          <w:type w:val="continuous"/>
          <w:pgSz w:w="11910" w:h="16840"/>
          <w:pgMar w:top="1340" w:right="1020" w:bottom="960" w:left="1360" w:header="720" w:footer="720" w:gutter="0"/>
          <w:cols w:equalWidth="0" w:num="2">
            <w:col w:w="3080" w:space="218"/>
            <w:col w:w="6232"/>
          </w:cols>
        </w:sectPr>
      </w:pPr>
    </w:p>
    <w:p>
      <w:pPr>
        <w:wordWrap w:val="0"/>
        <w:spacing w:before="62"/>
        <w:ind w:left="229"/>
        <w:rPr>
          <w:rFonts w:ascii="Microsoft YaHei UI" w:eastAsia="Microsoft YaHei UI"/>
          <w:b/>
          <w:sz w:val="28"/>
        </w:rPr>
      </w:pPr>
      <w:r>
        <w:rPr>
          <w:rFonts w:hint="eastAsia" w:ascii="Microsoft YaHei UI" w:eastAsia="Microsoft YaHei UI"/>
          <w:b/>
          <w:sz w:val="28"/>
        </w:rPr>
        <w:t>十五、响应产品销售业绩一览表</w:t>
      </w:r>
    </w:p>
    <w:p>
      <w:pPr>
        <w:pStyle w:val="2"/>
        <w:wordWrap w:val="0"/>
        <w:spacing w:before="9"/>
        <w:rPr>
          <w:rFonts w:ascii="Microsoft YaHei UI"/>
          <w:b/>
          <w:sz w:val="18"/>
        </w:rPr>
      </w:pPr>
    </w:p>
    <w:p>
      <w:pPr>
        <w:wordWrap w:val="0"/>
        <w:ind w:left="2961" w:right="3185"/>
        <w:jc w:val="center"/>
        <w:rPr>
          <w:rFonts w:ascii="Microsoft YaHei UI" w:eastAsia="Microsoft YaHei UI"/>
          <w:b/>
          <w:sz w:val="32"/>
        </w:rPr>
      </w:pPr>
      <w:r>
        <w:pict>
          <v:shape id="_x0000_s2050" o:spid="_x0000_s2050" o:spt="202" type="#_x0000_t202" style="position:absolute;left:0pt;margin-left:73.8pt;margin-top:24.75pt;height:225.05pt;width:465.1pt;mso-position-horizontal-relative:page;z-index:251664384;mso-width-relative:page;mso-height-relative:page;" filled="f" stroked="f" coordsize="21600,21600">
            <v:path/>
            <v:fill on="f" focussize="0,0"/>
            <v:stroke on="f" joinstyle="miter"/>
            <v:imagedata o:title=""/>
            <o:lock v:ext="edit"/>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278"/>
                    <w:gridCol w:w="1550"/>
                    <w:gridCol w:w="1277"/>
                    <w:gridCol w:w="1274"/>
                    <w:gridCol w:w="2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16" w:type="dxa"/>
                      </w:tcPr>
                      <w:p>
                        <w:pPr>
                          <w:pStyle w:val="15"/>
                          <w:spacing w:before="13"/>
                          <w:rPr>
                            <w:rFonts w:ascii="Microsoft YaHei UI"/>
                            <w:b/>
                            <w:sz w:val="18"/>
                          </w:rPr>
                        </w:pPr>
                      </w:p>
                      <w:p>
                        <w:pPr>
                          <w:pStyle w:val="15"/>
                          <w:ind w:left="147" w:right="138"/>
                          <w:jc w:val="center"/>
                          <w:rPr>
                            <w:sz w:val="24"/>
                          </w:rPr>
                        </w:pPr>
                        <w:r>
                          <w:rPr>
                            <w:sz w:val="24"/>
                          </w:rPr>
                          <w:t>序号</w:t>
                        </w:r>
                      </w:p>
                    </w:tc>
                    <w:tc>
                      <w:tcPr>
                        <w:tcW w:w="2278" w:type="dxa"/>
                      </w:tcPr>
                      <w:p>
                        <w:pPr>
                          <w:pStyle w:val="15"/>
                          <w:spacing w:before="13"/>
                          <w:rPr>
                            <w:rFonts w:ascii="Microsoft YaHei UI"/>
                            <w:b/>
                            <w:sz w:val="18"/>
                          </w:rPr>
                        </w:pPr>
                      </w:p>
                      <w:p>
                        <w:pPr>
                          <w:pStyle w:val="15"/>
                          <w:ind w:left="657"/>
                          <w:rPr>
                            <w:sz w:val="24"/>
                          </w:rPr>
                        </w:pPr>
                        <w:r>
                          <w:rPr>
                            <w:sz w:val="24"/>
                          </w:rPr>
                          <w:t>业主名称</w:t>
                        </w:r>
                      </w:p>
                    </w:tc>
                    <w:tc>
                      <w:tcPr>
                        <w:tcW w:w="1550" w:type="dxa"/>
                      </w:tcPr>
                      <w:p>
                        <w:pPr>
                          <w:pStyle w:val="15"/>
                          <w:spacing w:before="13"/>
                          <w:rPr>
                            <w:rFonts w:ascii="Microsoft YaHei UI"/>
                            <w:b/>
                            <w:sz w:val="18"/>
                          </w:rPr>
                        </w:pPr>
                      </w:p>
                      <w:p>
                        <w:pPr>
                          <w:pStyle w:val="15"/>
                          <w:ind w:left="292"/>
                          <w:rPr>
                            <w:sz w:val="24"/>
                          </w:rPr>
                        </w:pPr>
                        <w:r>
                          <w:rPr>
                            <w:sz w:val="24"/>
                          </w:rPr>
                          <w:t>项目名称</w:t>
                        </w:r>
                      </w:p>
                    </w:tc>
                    <w:tc>
                      <w:tcPr>
                        <w:tcW w:w="1277" w:type="dxa"/>
                      </w:tcPr>
                      <w:p>
                        <w:pPr>
                          <w:pStyle w:val="15"/>
                          <w:spacing w:before="13"/>
                          <w:rPr>
                            <w:rFonts w:ascii="Microsoft YaHei UI"/>
                            <w:b/>
                            <w:sz w:val="18"/>
                          </w:rPr>
                        </w:pPr>
                      </w:p>
                      <w:p>
                        <w:pPr>
                          <w:pStyle w:val="15"/>
                          <w:ind w:left="156"/>
                          <w:rPr>
                            <w:sz w:val="24"/>
                          </w:rPr>
                        </w:pPr>
                        <w:r>
                          <w:rPr>
                            <w:sz w:val="24"/>
                          </w:rPr>
                          <w:t>合同总价</w:t>
                        </w:r>
                      </w:p>
                    </w:tc>
                    <w:tc>
                      <w:tcPr>
                        <w:tcW w:w="1274" w:type="dxa"/>
                      </w:tcPr>
                      <w:p>
                        <w:pPr>
                          <w:pStyle w:val="15"/>
                          <w:spacing w:before="13"/>
                          <w:rPr>
                            <w:rFonts w:ascii="Microsoft YaHei UI"/>
                            <w:b/>
                            <w:sz w:val="18"/>
                          </w:rPr>
                        </w:pPr>
                      </w:p>
                      <w:p>
                        <w:pPr>
                          <w:pStyle w:val="15"/>
                          <w:ind w:left="156"/>
                          <w:rPr>
                            <w:sz w:val="24"/>
                          </w:rPr>
                        </w:pPr>
                        <w:r>
                          <w:rPr>
                            <w:sz w:val="24"/>
                          </w:rPr>
                          <w:t>完成时间</w:t>
                        </w:r>
                      </w:p>
                    </w:tc>
                    <w:tc>
                      <w:tcPr>
                        <w:tcW w:w="2091" w:type="dxa"/>
                      </w:tcPr>
                      <w:p>
                        <w:pPr>
                          <w:pStyle w:val="15"/>
                          <w:spacing w:line="440" w:lineRule="exact"/>
                          <w:ind w:left="684" w:right="194" w:hanging="480"/>
                          <w:rPr>
                            <w:sz w:val="24"/>
                          </w:rPr>
                        </w:pPr>
                        <w:r>
                          <w:rPr>
                            <w:spacing w:val="-1"/>
                            <w:sz w:val="24"/>
                          </w:rPr>
                          <w:t>业主单位联系人</w:t>
                        </w:r>
                        <w:r>
                          <w:rPr>
                            <w:sz w:val="24"/>
                          </w:rPr>
                          <w:t>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5"/>
                          <w:spacing w:before="112" w:line="306" w:lineRule="exact"/>
                          <w:ind w:left="3661" w:right="3654"/>
                          <w:jc w:val="center"/>
                          <w:rPr>
                            <w:sz w:val="24"/>
                          </w:rPr>
                        </w:pPr>
                        <w:r>
                          <w:rPr>
                            <w:sz w:val="24"/>
                          </w:rPr>
                          <w:t>三级医院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5"/>
                          <w:spacing w:before="112"/>
                          <w:ind w:left="9"/>
                          <w:jc w:val="center"/>
                          <w:rPr>
                            <w:sz w:val="24"/>
                          </w:rPr>
                        </w:pPr>
                        <w:r>
                          <w:rPr>
                            <w:sz w:val="24"/>
                          </w:rPr>
                          <w:t>1</w:t>
                        </w:r>
                      </w:p>
                    </w:tc>
                    <w:tc>
                      <w:tcPr>
                        <w:tcW w:w="2278" w:type="dxa"/>
                      </w:tcPr>
                      <w:p>
                        <w:pPr>
                          <w:pStyle w:val="15"/>
                          <w:rPr>
                            <w:rFonts w:ascii="Times New Roman"/>
                            <w:sz w:val="24"/>
                          </w:rPr>
                        </w:pPr>
                      </w:p>
                    </w:tc>
                    <w:tc>
                      <w:tcPr>
                        <w:tcW w:w="1550" w:type="dxa"/>
                      </w:tcPr>
                      <w:p>
                        <w:pPr>
                          <w:pStyle w:val="15"/>
                          <w:rPr>
                            <w:rFonts w:ascii="Times New Roman"/>
                            <w:sz w:val="24"/>
                          </w:rPr>
                        </w:pPr>
                      </w:p>
                    </w:tc>
                    <w:tc>
                      <w:tcPr>
                        <w:tcW w:w="1277" w:type="dxa"/>
                      </w:tcPr>
                      <w:p>
                        <w:pPr>
                          <w:pStyle w:val="15"/>
                          <w:rPr>
                            <w:rFonts w:ascii="Times New Roman"/>
                            <w:sz w:val="24"/>
                          </w:rPr>
                        </w:pPr>
                      </w:p>
                    </w:tc>
                    <w:tc>
                      <w:tcPr>
                        <w:tcW w:w="1274" w:type="dxa"/>
                      </w:tcPr>
                      <w:p>
                        <w:pPr>
                          <w:pStyle w:val="15"/>
                          <w:rPr>
                            <w:rFonts w:ascii="Times New Roman"/>
                            <w:sz w:val="24"/>
                          </w:rPr>
                        </w:pPr>
                      </w:p>
                    </w:tc>
                    <w:tc>
                      <w:tcPr>
                        <w:tcW w:w="209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5"/>
                          <w:spacing w:before="112" w:line="306" w:lineRule="exact"/>
                          <w:ind w:left="9"/>
                          <w:jc w:val="center"/>
                          <w:rPr>
                            <w:sz w:val="24"/>
                          </w:rPr>
                        </w:pPr>
                        <w:r>
                          <w:rPr>
                            <w:sz w:val="24"/>
                          </w:rPr>
                          <w:t>2</w:t>
                        </w:r>
                      </w:p>
                    </w:tc>
                    <w:tc>
                      <w:tcPr>
                        <w:tcW w:w="2278" w:type="dxa"/>
                      </w:tcPr>
                      <w:p>
                        <w:pPr>
                          <w:pStyle w:val="15"/>
                          <w:rPr>
                            <w:rFonts w:ascii="Times New Roman"/>
                            <w:sz w:val="24"/>
                          </w:rPr>
                        </w:pPr>
                      </w:p>
                    </w:tc>
                    <w:tc>
                      <w:tcPr>
                        <w:tcW w:w="1550" w:type="dxa"/>
                      </w:tcPr>
                      <w:p>
                        <w:pPr>
                          <w:pStyle w:val="15"/>
                          <w:rPr>
                            <w:rFonts w:ascii="Times New Roman"/>
                            <w:sz w:val="24"/>
                          </w:rPr>
                        </w:pPr>
                      </w:p>
                    </w:tc>
                    <w:tc>
                      <w:tcPr>
                        <w:tcW w:w="1277" w:type="dxa"/>
                      </w:tcPr>
                      <w:p>
                        <w:pPr>
                          <w:pStyle w:val="15"/>
                          <w:rPr>
                            <w:rFonts w:ascii="Times New Roman"/>
                            <w:sz w:val="24"/>
                          </w:rPr>
                        </w:pPr>
                      </w:p>
                    </w:tc>
                    <w:tc>
                      <w:tcPr>
                        <w:tcW w:w="1274" w:type="dxa"/>
                      </w:tcPr>
                      <w:p>
                        <w:pPr>
                          <w:pStyle w:val="15"/>
                          <w:rPr>
                            <w:rFonts w:ascii="Times New Roman"/>
                            <w:sz w:val="24"/>
                          </w:rPr>
                        </w:pPr>
                      </w:p>
                    </w:tc>
                    <w:tc>
                      <w:tcPr>
                        <w:tcW w:w="209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5"/>
                          <w:spacing w:before="113"/>
                          <w:ind w:left="9"/>
                          <w:jc w:val="center"/>
                          <w:rPr>
                            <w:sz w:val="24"/>
                          </w:rPr>
                        </w:pPr>
                        <w:r>
                          <w:rPr>
                            <w:w w:val="200"/>
                            <w:sz w:val="24"/>
                          </w:rPr>
                          <w:t>„</w:t>
                        </w:r>
                      </w:p>
                    </w:tc>
                    <w:tc>
                      <w:tcPr>
                        <w:tcW w:w="2278" w:type="dxa"/>
                      </w:tcPr>
                      <w:p>
                        <w:pPr>
                          <w:pStyle w:val="15"/>
                          <w:rPr>
                            <w:rFonts w:ascii="Times New Roman"/>
                            <w:sz w:val="24"/>
                          </w:rPr>
                        </w:pPr>
                      </w:p>
                    </w:tc>
                    <w:tc>
                      <w:tcPr>
                        <w:tcW w:w="1550" w:type="dxa"/>
                      </w:tcPr>
                      <w:p>
                        <w:pPr>
                          <w:pStyle w:val="15"/>
                          <w:rPr>
                            <w:rFonts w:ascii="Times New Roman"/>
                            <w:sz w:val="24"/>
                          </w:rPr>
                        </w:pPr>
                      </w:p>
                    </w:tc>
                    <w:tc>
                      <w:tcPr>
                        <w:tcW w:w="1277" w:type="dxa"/>
                      </w:tcPr>
                      <w:p>
                        <w:pPr>
                          <w:pStyle w:val="15"/>
                          <w:rPr>
                            <w:rFonts w:ascii="Times New Roman"/>
                            <w:sz w:val="24"/>
                          </w:rPr>
                        </w:pPr>
                      </w:p>
                    </w:tc>
                    <w:tc>
                      <w:tcPr>
                        <w:tcW w:w="1274" w:type="dxa"/>
                      </w:tcPr>
                      <w:p>
                        <w:pPr>
                          <w:pStyle w:val="15"/>
                          <w:rPr>
                            <w:rFonts w:ascii="Times New Roman"/>
                            <w:sz w:val="24"/>
                          </w:rPr>
                        </w:pPr>
                      </w:p>
                    </w:tc>
                    <w:tc>
                      <w:tcPr>
                        <w:tcW w:w="209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5"/>
                          <w:spacing w:before="112" w:line="306" w:lineRule="exact"/>
                          <w:ind w:left="3661" w:right="3654"/>
                          <w:jc w:val="center"/>
                          <w:rPr>
                            <w:sz w:val="24"/>
                          </w:rPr>
                        </w:pPr>
                        <w:r>
                          <w:rPr>
                            <w:sz w:val="24"/>
                          </w:rPr>
                          <w:t>三级以下医疗机构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5"/>
                          <w:spacing w:before="112"/>
                          <w:ind w:left="9"/>
                          <w:jc w:val="center"/>
                          <w:rPr>
                            <w:sz w:val="24"/>
                          </w:rPr>
                        </w:pPr>
                        <w:r>
                          <w:rPr>
                            <w:sz w:val="24"/>
                          </w:rPr>
                          <w:t>1</w:t>
                        </w:r>
                      </w:p>
                    </w:tc>
                    <w:tc>
                      <w:tcPr>
                        <w:tcW w:w="2278" w:type="dxa"/>
                      </w:tcPr>
                      <w:p>
                        <w:pPr>
                          <w:pStyle w:val="15"/>
                          <w:rPr>
                            <w:rFonts w:ascii="Times New Roman"/>
                            <w:sz w:val="24"/>
                          </w:rPr>
                        </w:pPr>
                      </w:p>
                    </w:tc>
                    <w:tc>
                      <w:tcPr>
                        <w:tcW w:w="1550" w:type="dxa"/>
                      </w:tcPr>
                      <w:p>
                        <w:pPr>
                          <w:pStyle w:val="15"/>
                          <w:rPr>
                            <w:rFonts w:ascii="Times New Roman"/>
                            <w:sz w:val="24"/>
                          </w:rPr>
                        </w:pPr>
                      </w:p>
                    </w:tc>
                    <w:tc>
                      <w:tcPr>
                        <w:tcW w:w="1277" w:type="dxa"/>
                      </w:tcPr>
                      <w:p>
                        <w:pPr>
                          <w:pStyle w:val="15"/>
                          <w:rPr>
                            <w:rFonts w:ascii="Times New Roman"/>
                            <w:sz w:val="24"/>
                          </w:rPr>
                        </w:pPr>
                      </w:p>
                    </w:tc>
                    <w:tc>
                      <w:tcPr>
                        <w:tcW w:w="1274" w:type="dxa"/>
                      </w:tcPr>
                      <w:p>
                        <w:pPr>
                          <w:pStyle w:val="15"/>
                          <w:rPr>
                            <w:rFonts w:ascii="Times New Roman"/>
                            <w:sz w:val="24"/>
                          </w:rPr>
                        </w:pPr>
                      </w:p>
                    </w:tc>
                    <w:tc>
                      <w:tcPr>
                        <w:tcW w:w="209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5"/>
                          <w:spacing w:before="112" w:line="306" w:lineRule="exact"/>
                          <w:ind w:left="9"/>
                          <w:jc w:val="center"/>
                          <w:rPr>
                            <w:sz w:val="24"/>
                          </w:rPr>
                        </w:pPr>
                        <w:r>
                          <w:rPr>
                            <w:sz w:val="24"/>
                          </w:rPr>
                          <w:t>2</w:t>
                        </w:r>
                      </w:p>
                    </w:tc>
                    <w:tc>
                      <w:tcPr>
                        <w:tcW w:w="2278" w:type="dxa"/>
                      </w:tcPr>
                      <w:p>
                        <w:pPr>
                          <w:pStyle w:val="15"/>
                          <w:rPr>
                            <w:rFonts w:ascii="Times New Roman"/>
                            <w:sz w:val="24"/>
                          </w:rPr>
                        </w:pPr>
                      </w:p>
                    </w:tc>
                    <w:tc>
                      <w:tcPr>
                        <w:tcW w:w="1550" w:type="dxa"/>
                      </w:tcPr>
                      <w:p>
                        <w:pPr>
                          <w:pStyle w:val="15"/>
                          <w:rPr>
                            <w:rFonts w:ascii="Times New Roman"/>
                            <w:sz w:val="24"/>
                          </w:rPr>
                        </w:pPr>
                      </w:p>
                    </w:tc>
                    <w:tc>
                      <w:tcPr>
                        <w:tcW w:w="1277" w:type="dxa"/>
                      </w:tcPr>
                      <w:p>
                        <w:pPr>
                          <w:pStyle w:val="15"/>
                          <w:rPr>
                            <w:rFonts w:ascii="Times New Roman"/>
                            <w:sz w:val="24"/>
                          </w:rPr>
                        </w:pPr>
                      </w:p>
                    </w:tc>
                    <w:tc>
                      <w:tcPr>
                        <w:tcW w:w="1274" w:type="dxa"/>
                      </w:tcPr>
                      <w:p>
                        <w:pPr>
                          <w:pStyle w:val="15"/>
                          <w:rPr>
                            <w:rFonts w:ascii="Times New Roman"/>
                            <w:sz w:val="24"/>
                          </w:rPr>
                        </w:pPr>
                      </w:p>
                    </w:tc>
                    <w:tc>
                      <w:tcPr>
                        <w:tcW w:w="2091" w:type="dxa"/>
                      </w:tcPr>
                      <w:p>
                        <w:pPr>
                          <w:pStyle w:val="1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5"/>
                          <w:spacing w:before="112"/>
                          <w:ind w:left="9"/>
                          <w:jc w:val="center"/>
                          <w:rPr>
                            <w:sz w:val="24"/>
                          </w:rPr>
                        </w:pPr>
                        <w:r>
                          <w:rPr>
                            <w:w w:val="200"/>
                            <w:sz w:val="24"/>
                          </w:rPr>
                          <w:t>„</w:t>
                        </w:r>
                      </w:p>
                    </w:tc>
                    <w:tc>
                      <w:tcPr>
                        <w:tcW w:w="2278" w:type="dxa"/>
                      </w:tcPr>
                      <w:p>
                        <w:pPr>
                          <w:pStyle w:val="15"/>
                          <w:rPr>
                            <w:rFonts w:ascii="Times New Roman"/>
                            <w:sz w:val="24"/>
                          </w:rPr>
                        </w:pPr>
                      </w:p>
                    </w:tc>
                    <w:tc>
                      <w:tcPr>
                        <w:tcW w:w="1550" w:type="dxa"/>
                      </w:tcPr>
                      <w:p>
                        <w:pPr>
                          <w:pStyle w:val="15"/>
                          <w:rPr>
                            <w:rFonts w:ascii="Times New Roman"/>
                            <w:sz w:val="24"/>
                          </w:rPr>
                        </w:pPr>
                      </w:p>
                    </w:tc>
                    <w:tc>
                      <w:tcPr>
                        <w:tcW w:w="1277" w:type="dxa"/>
                      </w:tcPr>
                      <w:p>
                        <w:pPr>
                          <w:pStyle w:val="15"/>
                          <w:rPr>
                            <w:rFonts w:ascii="Times New Roman"/>
                            <w:sz w:val="24"/>
                          </w:rPr>
                        </w:pPr>
                      </w:p>
                    </w:tc>
                    <w:tc>
                      <w:tcPr>
                        <w:tcW w:w="1274" w:type="dxa"/>
                      </w:tcPr>
                      <w:p>
                        <w:pPr>
                          <w:pStyle w:val="15"/>
                          <w:rPr>
                            <w:rFonts w:ascii="Times New Roman"/>
                            <w:sz w:val="24"/>
                          </w:rPr>
                        </w:pPr>
                      </w:p>
                    </w:tc>
                    <w:tc>
                      <w:tcPr>
                        <w:tcW w:w="2091" w:type="dxa"/>
                      </w:tcPr>
                      <w:p>
                        <w:pPr>
                          <w:pStyle w:val="15"/>
                          <w:rPr>
                            <w:rFonts w:ascii="Times New Roman"/>
                            <w:sz w:val="24"/>
                          </w:rPr>
                        </w:pPr>
                      </w:p>
                    </w:tc>
                  </w:tr>
                </w:tbl>
                <w:p>
                  <w:pPr>
                    <w:pStyle w:val="2"/>
                  </w:pPr>
                </w:p>
              </w:txbxContent>
            </v:textbox>
          </v:shape>
        </w:pict>
      </w:r>
      <w:r>
        <w:rPr>
          <w:rFonts w:hint="eastAsia" w:ascii="Microsoft YaHei UI" w:eastAsia="Microsoft YaHei UI"/>
          <w:b/>
          <w:w w:val="95"/>
          <w:sz w:val="32"/>
        </w:rPr>
        <w:t>响应产品销售业绩一览表</w:t>
      </w: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spacing w:before="4"/>
        <w:rPr>
          <w:rFonts w:ascii="Microsoft YaHei UI"/>
          <w:b/>
          <w:sz w:val="31"/>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spacing w:val="9"/>
        </w:rPr>
      </w:pPr>
      <w:r>
        <w:t xml:space="preserve">填写说明：                                         </w:t>
      </w:r>
    </w:p>
    <w:p>
      <w:pPr>
        <w:pStyle w:val="2"/>
        <w:wordWrap w:val="0"/>
        <w:spacing w:line="343" w:lineRule="auto"/>
        <w:ind w:left="229" w:right="2695"/>
      </w:pPr>
      <w:r>
        <w:rPr>
          <w:spacing w:val="-1"/>
        </w:rPr>
        <w:t>1．</w:t>
      </w:r>
      <w:r>
        <w:t>必须提供合同或发票复印件，并在复合件上加盖单位公章；</w:t>
      </w:r>
    </w:p>
    <w:p>
      <w:pPr>
        <w:pStyle w:val="2"/>
        <w:wordWrap w:val="0"/>
        <w:spacing w:line="306" w:lineRule="exact"/>
        <w:ind w:left="229"/>
      </w:pPr>
      <w:r>
        <w:t>2．响应供应商提供的业绩必须是本次响应产品或响应产品升级前原产品的销售业绩；</w:t>
      </w:r>
    </w:p>
    <w:p>
      <w:pPr>
        <w:pStyle w:val="2"/>
        <w:wordWrap w:val="0"/>
        <w:spacing w:before="134"/>
        <w:ind w:left="229"/>
      </w:pPr>
      <w:r>
        <w:t>3、上表如果行数不够，响应供应商可自行增加。</w:t>
      </w:r>
    </w:p>
    <w:p>
      <w:pPr>
        <w:pStyle w:val="2"/>
        <w:wordWrap w:val="0"/>
      </w:pPr>
    </w:p>
    <w:p>
      <w:pPr>
        <w:pStyle w:val="2"/>
        <w:wordWrap w:val="0"/>
      </w:pPr>
    </w:p>
    <w:p>
      <w:pPr>
        <w:pStyle w:val="2"/>
        <w:wordWrap w:val="0"/>
      </w:pPr>
    </w:p>
    <w:p>
      <w:pPr>
        <w:pStyle w:val="2"/>
        <w:wordWrap w:val="0"/>
        <w:spacing w:before="9"/>
        <w:rPr>
          <w:sz w:val="23"/>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bookmarkStart w:id="14" w:name="_GoBack"/>
      <w:bookmarkEnd w:id="14"/>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pStyle w:val="2"/>
        <w:wordWrap w:val="0"/>
        <w:rPr>
          <w:sz w:val="26"/>
        </w:rPr>
      </w:pPr>
    </w:p>
    <w:p>
      <w:pPr>
        <w:pStyle w:val="2"/>
        <w:wordWrap w:val="0"/>
        <w:rPr>
          <w:sz w:val="26"/>
        </w:rPr>
      </w:pPr>
    </w:p>
    <w:p>
      <w:pPr>
        <w:pStyle w:val="2"/>
        <w:wordWrap w:val="0"/>
        <w:spacing w:before="3"/>
        <w:rPr>
          <w:sz w:val="21"/>
        </w:rPr>
      </w:pPr>
    </w:p>
    <w:p>
      <w:pPr>
        <w:wordWrap w:val="0"/>
        <w:ind w:left="229"/>
        <w:rPr>
          <w:rFonts w:ascii="Microsoft YaHei UI" w:eastAsia="Microsoft YaHei UI"/>
          <w:b/>
          <w:sz w:val="28"/>
        </w:rPr>
      </w:pPr>
      <w:r>
        <w:rPr>
          <w:rFonts w:hint="eastAsia" w:ascii="Microsoft YaHei UI" w:eastAsia="Microsoft YaHei UI"/>
          <w:b/>
          <w:sz w:val="28"/>
        </w:rPr>
        <w:t>十六、增值服务承诺</w:t>
      </w:r>
    </w:p>
    <w:p>
      <w:pPr>
        <w:pStyle w:val="2"/>
        <w:wordWrap w:val="0"/>
        <w:spacing w:before="9"/>
        <w:rPr>
          <w:rFonts w:ascii="Microsoft YaHei UI"/>
          <w:b/>
          <w:sz w:val="21"/>
        </w:rPr>
      </w:pPr>
    </w:p>
    <w:p>
      <w:pPr>
        <w:wordWrap w:val="0"/>
        <w:spacing w:before="1"/>
        <w:ind w:left="229"/>
        <w:rPr>
          <w:rFonts w:ascii="Microsoft YaHei UI" w:eastAsia="Microsoft YaHei UI"/>
          <w:b/>
          <w:sz w:val="28"/>
        </w:rPr>
      </w:pPr>
      <w:r>
        <w:rPr>
          <w:rFonts w:hint="eastAsia" w:ascii="Microsoft YaHei UI" w:eastAsia="Microsoft YaHei UI"/>
          <w:b/>
          <w:sz w:val="28"/>
        </w:rPr>
        <w:t>十七、其他供应商认为需要的材料</w:t>
      </w:r>
    </w:p>
    <w:sectPr>
      <w:pgSz w:w="11910" w:h="16840"/>
      <w:pgMar w:top="1340" w:right="1020" w:bottom="960" w:left="1360" w:header="877" w:footer="7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altName w:val="Arial"/>
    <w:panose1 w:val="00000000000000000000"/>
    <w:charset w:val="01"/>
    <w:family w:val="swiss"/>
    <w:pitch w:val="default"/>
    <w:sig w:usb0="00000000" w:usb1="00000000" w:usb2="00000000" w:usb3="00000000" w:csb0="00000000" w:csb1="00000000"/>
  </w:font>
  <w:font w:name="MingLiU_HKSCS-ExtB">
    <w:panose1 w:val="02020500000000000000"/>
    <w:charset w:val="88"/>
    <w:family w:val="roman"/>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44" o:spid="_x0000_s1044" o:spt="202" type="#_x0000_t202" style="position:absolute;left:0pt;margin-left:290.2pt;margin-top:792.4pt;height:11pt;width:15.1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3</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25" o:spid="_x0000_s1025" o:spt="202" type="#_x0000_t202" style="position:absolute;left:0pt;margin-left:292.95pt;margin-top:792.4pt;height:11pt;width:15.15pt;mso-position-horizontal-relative:page;mso-position-vertical-relative:page;z-index:-251639808;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42" o:spid="_x0000_s1042" o:spt="202" type="#_x0000_t202" style="position:absolute;left:0pt;margin-left:290.2pt;margin-top:792.4pt;height:11pt;width:15.15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18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9" o:spid="_x0000_s1039" o:spt="202" type="#_x0000_t202" style="position:absolute;left:0pt;margin-left:290.2pt;margin-top:792.4pt;height:11pt;width:15.15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7" o:spid="_x0000_s1037" o:spt="202" type="#_x0000_t202" style="position:absolute;left:0pt;margin-left:290.2pt;margin-top:792.4pt;height:11pt;width:15.15pt;mso-position-horizontal-relative:page;mso-position-vertical-relative:page;z-index:-251645952;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4" o:spid="_x0000_s1034" o:spt="202" type="#_x0000_t202" style="position:absolute;left:0pt;margin-left:290.2pt;margin-top:792.4pt;height:11pt;width:15.15pt;mso-position-horizontal-relative:page;mso-position-vertical-relative:page;z-index:-251644928;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3" o:spid="_x0000_s1033" o:spt="202" type="#_x0000_t202" style="position:absolute;left:0pt;margin-left:405.5pt;margin-top:545.8pt;height:11pt;width:11.15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pPr>
                  <w:spacing w:line="203" w:lineRule="exact"/>
                  <w:ind w:left="20"/>
                  <w:rPr>
                    <w:rFonts w:ascii="Calibri"/>
                    <w:sz w:val="18"/>
                  </w:rPr>
                </w:pPr>
                <w:r>
                  <w:rPr>
                    <w:rFonts w:ascii="Calibri"/>
                    <w:sz w:val="18"/>
                  </w:rPr>
                  <w:t>40</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2" o:spid="_x0000_s1032" o:spt="202" type="#_x0000_t202" style="position:absolute;left:0pt;margin-left:289.2pt;margin-top:792.4pt;height:11pt;width:11.15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pPr>
                  <w:spacing w:line="203" w:lineRule="exact"/>
                  <w:ind w:left="20"/>
                  <w:rPr>
                    <w:rFonts w:ascii="Calibri"/>
                    <w:sz w:val="18"/>
                  </w:rPr>
                </w:pPr>
                <w:r>
                  <w:rPr>
                    <w:rFonts w:ascii="Calibri"/>
                    <w:sz w:val="18"/>
                  </w:rPr>
                  <w:t>41</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29" o:spid="_x0000_s1029" o:spt="202" type="#_x0000_t202" style="position:absolute;left:0pt;margin-left:403.5pt;margin-top:545.8pt;height:11pt;width:15.15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43</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rect id="_x0000_s1046" o:spid="_x0000_s1046" o:spt="1" style="position:absolute;left:0pt;margin-left:60.95pt;margin-top:66.95pt;height:0.7pt;width:473.6pt;mso-position-horizontal-relative:page;mso-position-vertical-relative:page;z-index:-251651072;mso-width-relative:page;mso-height-relative:page;" fillcolor="#000000" filled="t" stroked="f" coordsize="21600,21600">
          <v:path/>
          <v:fill on="t" focussize="0,0"/>
          <v:stroke on="f"/>
          <v:imagedata o:title=""/>
          <o:lock v:ext="edit"/>
        </v:rect>
      </w:pict>
    </w:r>
    <w:r>
      <w:pict>
        <v:shape id="_x0000_s1045" o:spid="_x0000_s1045" o:spt="202" type="#_x0000_t202" style="position:absolute;left:0pt;margin-left:247.2pt;margin-top:42.85pt;height:22.65pt;width:101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rect id="_x0000_s1027" o:spid="_x0000_s1027" o:spt="1" style="position:absolute;left:0pt;margin-left:78pt;margin-top:66.95pt;height:0.7pt;width:445.15pt;mso-position-horizontal-relative:page;mso-position-vertical-relative:page;z-index:-251640832;mso-width-relative:page;mso-height-relative:page;" fillcolor="#000000" filled="t" stroked="f" coordsize="21600,21600">
          <v:path/>
          <v:fill on="t" focussize="0,0"/>
          <v:stroke on="f"/>
          <v:imagedata o:title=""/>
          <o:lock v:ext="edit"/>
        </v:rect>
      </w:pict>
    </w:r>
    <w:r>
      <w:pict>
        <v:shape id="_x0000_s1026" o:spid="_x0000_s1026" o:spt="202" type="#_x0000_t202" style="position:absolute;left:0pt;margin-left:250.1pt;margin-top:42.85pt;height:22.65pt;width:101pt;mso-position-horizontal-relative:page;mso-position-vertical-relative:page;z-index:-251640832;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43" o:spid="_x0000_s1043" o:spt="202" type="#_x0000_t202" style="position:absolute;left:0pt;margin-left:247.2pt;margin-top:42.85pt;height:22.65pt;width:101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rect id="_x0000_s1041" o:spid="_x0000_s1041" o:spt="1" style="position:absolute;left:0pt;margin-left:60.95pt;margin-top:66.95pt;height:0.7pt;width:473.6pt;mso-position-horizontal-relative:page;mso-position-vertical-relative:page;z-index:-251648000;mso-width-relative:page;mso-height-relative:page;" fillcolor="#000000" filled="t" stroked="f" coordsize="21600,21600">
          <v:path/>
          <v:fill on="t" focussize="0,0"/>
          <v:stroke on="f"/>
          <v:imagedata o:title=""/>
          <o:lock v:ext="edit"/>
        </v:rect>
      </w:pict>
    </w:r>
    <w:r>
      <w:pict>
        <v:shape id="_x0000_s1040" o:spid="_x0000_s1040" o:spt="202" type="#_x0000_t202" style="position:absolute;left:0pt;margin-left:247.2pt;margin-top:42.85pt;height:22.65pt;width:101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8" o:spid="_x0000_s1038" o:spt="202" type="#_x0000_t202" style="position:absolute;left:0pt;margin-left:247.2pt;margin-top:42.85pt;height:22.65pt;width:101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rect id="_x0000_s1036" o:spid="_x0000_s1036" o:spt="1" style="position:absolute;left:0pt;margin-left:60.95pt;margin-top:66.95pt;height:0.7pt;width:473.6pt;mso-position-horizontal-relative:page;mso-position-vertical-relative:page;z-index:-251645952;mso-width-relative:page;mso-height-relative:page;" fillcolor="#000000" filled="t" stroked="f" coordsize="21600,21600">
          <v:path/>
          <v:fill on="t" focussize="0,0"/>
          <v:stroke on="f"/>
          <v:imagedata o:title=""/>
          <o:lock v:ext="edit"/>
        </v:rect>
      </w:pict>
    </w:r>
    <w:r>
      <w:pict>
        <v:shape id="_x0000_s1035" o:spid="_x0000_s1035" o:spt="202" type="#_x0000_t202" style="position:absolute;left:0pt;margin-left:247.2pt;margin-top:42.85pt;height:22.65pt;width:101pt;mso-position-horizontal-relative:page;mso-position-vertical-relative:page;z-index:-251644928;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rect id="_x0000_s1031" o:spid="_x0000_s1031" o:spt="1" style="position:absolute;left:0pt;margin-left:49.55pt;margin-top:67pt;height:0.7pt;width:723pt;mso-position-horizontal-relative:page;mso-position-vertical-relative:page;z-index:-251642880;mso-width-relative:page;mso-height-relative:page;" fillcolor="#000000" filled="t" stroked="f" coordsize="21600,21600">
          <v:path/>
          <v:fill on="t" focussize="0,0"/>
          <v:stroke on="f"/>
          <v:imagedata o:title=""/>
          <o:lock v:ext="edit"/>
        </v:rect>
      </w:pict>
    </w:r>
    <w:r>
      <w:pict>
        <v:shape id="_x0000_s1030" o:spid="_x0000_s1030" o:spt="202" type="#_x0000_t202" style="position:absolute;left:0pt;margin-left:360.5pt;margin-top:42.85pt;height:22.65pt;width:101pt;mso-position-horizontal-relative:page;mso-position-vertical-relative:page;z-index:-251642880;mso-width-relative:page;mso-height-relative:page;" filled="f" stroked="f" coordsize="21600,21600">
          <v:path/>
          <v:fill on="f" focussize="0,0"/>
          <v:stroke on="f" joinstyle="miter"/>
          <v:imagedata o:title=""/>
          <o:lock v:ext="edit"/>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28" o:spid="_x0000_s1028" o:spt="202" type="#_x0000_t202" style="position:absolute;left:0pt;margin-left:250.1pt;margin-top:42.85pt;height:22.65pt;width:101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spacing w:line="242" w:lineRule="auto"/>
                  <w:ind w:left="199" w:right="18" w:hanging="180"/>
                  <w:jc w:val="center"/>
                  <w:rPr>
                    <w:rFonts w:hint="eastAsia" w:eastAsiaTheme="minorEastAsia"/>
                    <w:sz w:val="18"/>
                  </w:rPr>
                </w:pPr>
                <w:r>
                  <w:rPr>
                    <w:rFonts w:hint="eastAsia" w:eastAsiaTheme="minorEastAsia"/>
                    <w:spacing w:val="-1"/>
                    <w:sz w:val="18"/>
                  </w:rPr>
                  <w:t>宿迁市中医院</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84B20"/>
    <w:multiLevelType w:val="multilevel"/>
    <w:tmpl w:val="03284B20"/>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1">
    <w:nsid w:val="04BB17D7"/>
    <w:multiLevelType w:val="multilevel"/>
    <w:tmpl w:val="04BB17D7"/>
    <w:lvl w:ilvl="0" w:tentative="0">
      <w:start w:val="2"/>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2">
    <w:nsid w:val="09B75952"/>
    <w:multiLevelType w:val="multilevel"/>
    <w:tmpl w:val="09B75952"/>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3">
    <w:nsid w:val="0CEB4732"/>
    <w:multiLevelType w:val="multilevel"/>
    <w:tmpl w:val="0CEB4732"/>
    <w:lvl w:ilvl="0" w:tentative="0">
      <w:start w:val="1"/>
      <w:numFmt w:val="decimal"/>
      <w:lvlText w:val="%1."/>
      <w:lvlJc w:val="left"/>
      <w:pPr>
        <w:ind w:left="100" w:hanging="241"/>
      </w:pPr>
      <w:rPr>
        <w:rFonts w:hint="default" w:ascii="宋体" w:hAnsi="宋体" w:eastAsia="宋体" w:cs="宋体"/>
        <w:w w:val="100"/>
        <w:sz w:val="22"/>
        <w:szCs w:val="22"/>
        <w:lang w:val="en-US" w:eastAsia="zh-CN" w:bidi="ar-SA"/>
      </w:rPr>
    </w:lvl>
    <w:lvl w:ilvl="1" w:tentative="0">
      <w:start w:val="1"/>
      <w:numFmt w:val="decimal"/>
      <w:lvlText w:val="%2."/>
      <w:lvlJc w:val="left"/>
      <w:pPr>
        <w:ind w:left="229" w:hanging="243"/>
      </w:pPr>
      <w:rPr>
        <w:rFonts w:hint="default" w:ascii="宋体" w:hAnsi="宋体" w:eastAsia="宋体" w:cs="宋体"/>
        <w:w w:val="100"/>
        <w:sz w:val="22"/>
        <w:szCs w:val="22"/>
        <w:lang w:val="en-US" w:eastAsia="zh-CN" w:bidi="ar-SA"/>
      </w:rPr>
    </w:lvl>
    <w:lvl w:ilvl="2" w:tentative="0">
      <w:start w:val="0"/>
      <w:numFmt w:val="bullet"/>
      <w:lvlText w:val="•"/>
      <w:lvlJc w:val="left"/>
      <w:pPr>
        <w:ind w:left="1254" w:hanging="243"/>
      </w:pPr>
      <w:rPr>
        <w:rFonts w:hint="default"/>
        <w:lang w:val="en-US" w:eastAsia="zh-CN" w:bidi="ar-SA"/>
      </w:rPr>
    </w:lvl>
    <w:lvl w:ilvl="3" w:tentative="0">
      <w:start w:val="0"/>
      <w:numFmt w:val="bullet"/>
      <w:lvlText w:val="•"/>
      <w:lvlJc w:val="left"/>
      <w:pPr>
        <w:ind w:left="2288" w:hanging="243"/>
      </w:pPr>
      <w:rPr>
        <w:rFonts w:hint="default"/>
        <w:lang w:val="en-US" w:eastAsia="zh-CN" w:bidi="ar-SA"/>
      </w:rPr>
    </w:lvl>
    <w:lvl w:ilvl="4" w:tentative="0">
      <w:start w:val="0"/>
      <w:numFmt w:val="bullet"/>
      <w:lvlText w:val="•"/>
      <w:lvlJc w:val="left"/>
      <w:pPr>
        <w:ind w:left="3322" w:hanging="243"/>
      </w:pPr>
      <w:rPr>
        <w:rFonts w:hint="default"/>
        <w:lang w:val="en-US" w:eastAsia="zh-CN" w:bidi="ar-SA"/>
      </w:rPr>
    </w:lvl>
    <w:lvl w:ilvl="5" w:tentative="0">
      <w:start w:val="0"/>
      <w:numFmt w:val="bullet"/>
      <w:lvlText w:val="•"/>
      <w:lvlJc w:val="left"/>
      <w:pPr>
        <w:ind w:left="4356" w:hanging="243"/>
      </w:pPr>
      <w:rPr>
        <w:rFonts w:hint="default"/>
        <w:lang w:val="en-US" w:eastAsia="zh-CN" w:bidi="ar-SA"/>
      </w:rPr>
    </w:lvl>
    <w:lvl w:ilvl="6" w:tentative="0">
      <w:start w:val="0"/>
      <w:numFmt w:val="bullet"/>
      <w:lvlText w:val="•"/>
      <w:lvlJc w:val="left"/>
      <w:pPr>
        <w:ind w:left="5390" w:hanging="243"/>
      </w:pPr>
      <w:rPr>
        <w:rFonts w:hint="default"/>
        <w:lang w:val="en-US" w:eastAsia="zh-CN" w:bidi="ar-SA"/>
      </w:rPr>
    </w:lvl>
    <w:lvl w:ilvl="7" w:tentative="0">
      <w:start w:val="0"/>
      <w:numFmt w:val="bullet"/>
      <w:lvlText w:val="•"/>
      <w:lvlJc w:val="left"/>
      <w:pPr>
        <w:ind w:left="6424" w:hanging="243"/>
      </w:pPr>
      <w:rPr>
        <w:rFonts w:hint="default"/>
        <w:lang w:val="en-US" w:eastAsia="zh-CN" w:bidi="ar-SA"/>
      </w:rPr>
    </w:lvl>
    <w:lvl w:ilvl="8" w:tentative="0">
      <w:start w:val="0"/>
      <w:numFmt w:val="bullet"/>
      <w:lvlText w:val="•"/>
      <w:lvlJc w:val="left"/>
      <w:pPr>
        <w:ind w:left="7458" w:hanging="243"/>
      </w:pPr>
      <w:rPr>
        <w:rFonts w:hint="default"/>
        <w:lang w:val="en-US" w:eastAsia="zh-CN" w:bidi="ar-SA"/>
      </w:rPr>
    </w:lvl>
  </w:abstractNum>
  <w:abstractNum w:abstractNumId="4">
    <w:nsid w:val="11760691"/>
    <w:multiLevelType w:val="multilevel"/>
    <w:tmpl w:val="11760691"/>
    <w:lvl w:ilvl="0" w:tentative="0">
      <w:start w:val="1"/>
      <w:numFmt w:val="decimal"/>
      <w:lvlText w:val="%1."/>
      <w:lvlJc w:val="left"/>
      <w:pPr>
        <w:ind w:left="105"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733" w:hanging="241"/>
      </w:pPr>
      <w:rPr>
        <w:rFonts w:hint="default"/>
        <w:lang w:val="en-US" w:eastAsia="zh-CN" w:bidi="ar-SA"/>
      </w:rPr>
    </w:lvl>
    <w:lvl w:ilvl="2" w:tentative="0">
      <w:start w:val="0"/>
      <w:numFmt w:val="bullet"/>
      <w:lvlText w:val="•"/>
      <w:lvlJc w:val="left"/>
      <w:pPr>
        <w:ind w:left="1367" w:hanging="241"/>
      </w:pPr>
      <w:rPr>
        <w:rFonts w:hint="default"/>
        <w:lang w:val="en-US" w:eastAsia="zh-CN" w:bidi="ar-SA"/>
      </w:rPr>
    </w:lvl>
    <w:lvl w:ilvl="3" w:tentative="0">
      <w:start w:val="0"/>
      <w:numFmt w:val="bullet"/>
      <w:lvlText w:val="•"/>
      <w:lvlJc w:val="left"/>
      <w:pPr>
        <w:ind w:left="2000" w:hanging="241"/>
      </w:pPr>
      <w:rPr>
        <w:rFonts w:hint="default"/>
        <w:lang w:val="en-US" w:eastAsia="zh-CN" w:bidi="ar-SA"/>
      </w:rPr>
    </w:lvl>
    <w:lvl w:ilvl="4" w:tentative="0">
      <w:start w:val="0"/>
      <w:numFmt w:val="bullet"/>
      <w:lvlText w:val="•"/>
      <w:lvlJc w:val="left"/>
      <w:pPr>
        <w:ind w:left="2634" w:hanging="241"/>
      </w:pPr>
      <w:rPr>
        <w:rFonts w:hint="default"/>
        <w:lang w:val="en-US" w:eastAsia="zh-CN" w:bidi="ar-SA"/>
      </w:rPr>
    </w:lvl>
    <w:lvl w:ilvl="5" w:tentative="0">
      <w:start w:val="0"/>
      <w:numFmt w:val="bullet"/>
      <w:lvlText w:val="•"/>
      <w:lvlJc w:val="left"/>
      <w:pPr>
        <w:ind w:left="3267" w:hanging="241"/>
      </w:pPr>
      <w:rPr>
        <w:rFonts w:hint="default"/>
        <w:lang w:val="en-US" w:eastAsia="zh-CN" w:bidi="ar-SA"/>
      </w:rPr>
    </w:lvl>
    <w:lvl w:ilvl="6" w:tentative="0">
      <w:start w:val="0"/>
      <w:numFmt w:val="bullet"/>
      <w:lvlText w:val="•"/>
      <w:lvlJc w:val="left"/>
      <w:pPr>
        <w:ind w:left="3901" w:hanging="241"/>
      </w:pPr>
      <w:rPr>
        <w:rFonts w:hint="default"/>
        <w:lang w:val="en-US" w:eastAsia="zh-CN" w:bidi="ar-SA"/>
      </w:rPr>
    </w:lvl>
    <w:lvl w:ilvl="7" w:tentative="0">
      <w:start w:val="0"/>
      <w:numFmt w:val="bullet"/>
      <w:lvlText w:val="•"/>
      <w:lvlJc w:val="left"/>
      <w:pPr>
        <w:ind w:left="4534" w:hanging="241"/>
      </w:pPr>
      <w:rPr>
        <w:rFonts w:hint="default"/>
        <w:lang w:val="en-US" w:eastAsia="zh-CN" w:bidi="ar-SA"/>
      </w:rPr>
    </w:lvl>
    <w:lvl w:ilvl="8" w:tentative="0">
      <w:start w:val="0"/>
      <w:numFmt w:val="bullet"/>
      <w:lvlText w:val="•"/>
      <w:lvlJc w:val="left"/>
      <w:pPr>
        <w:ind w:left="5168" w:hanging="241"/>
      </w:pPr>
      <w:rPr>
        <w:rFonts w:hint="default"/>
        <w:lang w:val="en-US" w:eastAsia="zh-CN" w:bidi="ar-SA"/>
      </w:rPr>
    </w:lvl>
  </w:abstractNum>
  <w:abstractNum w:abstractNumId="5">
    <w:nsid w:val="11BD3E09"/>
    <w:multiLevelType w:val="multilevel"/>
    <w:tmpl w:val="11BD3E09"/>
    <w:lvl w:ilvl="0" w:tentative="0">
      <w:start w:val="4"/>
      <w:numFmt w:val="decimal"/>
      <w:lvlText w:val="%1"/>
      <w:lvlJc w:val="left"/>
      <w:pPr>
        <w:ind w:left="948" w:hanging="240"/>
      </w:pPr>
      <w:rPr>
        <w:rFonts w:hint="default" w:ascii="宋体" w:hAnsi="宋体" w:eastAsia="宋体" w:cs="宋体"/>
        <w:w w:val="100"/>
        <w:sz w:val="24"/>
        <w:szCs w:val="24"/>
        <w:lang w:val="en-US" w:eastAsia="zh-CN" w:bidi="ar-SA"/>
      </w:rPr>
    </w:lvl>
    <w:lvl w:ilvl="1" w:tentative="0">
      <w:start w:val="1"/>
      <w:numFmt w:val="decimal"/>
      <w:lvlText w:val="%1.%2."/>
      <w:lvlJc w:val="left"/>
      <w:pPr>
        <w:ind w:left="228" w:hanging="481"/>
      </w:pPr>
      <w:rPr>
        <w:rFonts w:hint="default" w:ascii="宋体" w:hAnsi="宋体" w:eastAsia="宋体" w:cs="宋体"/>
        <w:spacing w:val="-1"/>
        <w:w w:val="100"/>
        <w:sz w:val="22"/>
        <w:szCs w:val="22"/>
        <w:lang w:val="en-US" w:eastAsia="zh-CN" w:bidi="ar-SA"/>
      </w:rPr>
    </w:lvl>
    <w:lvl w:ilvl="2" w:tentative="0">
      <w:start w:val="0"/>
      <w:numFmt w:val="bullet"/>
      <w:lvlText w:val="•"/>
      <w:lvlJc w:val="left"/>
      <w:pPr>
        <w:ind w:left="1951" w:hanging="481"/>
      </w:pPr>
      <w:rPr>
        <w:rFonts w:hint="default"/>
        <w:lang w:val="en-US" w:eastAsia="zh-CN" w:bidi="ar-SA"/>
      </w:rPr>
    </w:lvl>
    <w:lvl w:ilvl="3" w:tentative="0">
      <w:start w:val="0"/>
      <w:numFmt w:val="bullet"/>
      <w:lvlText w:val="•"/>
      <w:lvlJc w:val="left"/>
      <w:pPr>
        <w:ind w:left="2963" w:hanging="481"/>
      </w:pPr>
      <w:rPr>
        <w:rFonts w:hint="default"/>
        <w:lang w:val="en-US" w:eastAsia="zh-CN" w:bidi="ar-SA"/>
      </w:rPr>
    </w:lvl>
    <w:lvl w:ilvl="4" w:tentative="0">
      <w:start w:val="0"/>
      <w:numFmt w:val="bullet"/>
      <w:lvlText w:val="•"/>
      <w:lvlJc w:val="left"/>
      <w:pPr>
        <w:ind w:left="3975" w:hanging="481"/>
      </w:pPr>
      <w:rPr>
        <w:rFonts w:hint="default"/>
        <w:lang w:val="en-US" w:eastAsia="zh-CN" w:bidi="ar-SA"/>
      </w:rPr>
    </w:lvl>
    <w:lvl w:ilvl="5" w:tentative="0">
      <w:start w:val="0"/>
      <w:numFmt w:val="bullet"/>
      <w:lvlText w:val="•"/>
      <w:lvlJc w:val="left"/>
      <w:pPr>
        <w:ind w:left="4987" w:hanging="481"/>
      </w:pPr>
      <w:rPr>
        <w:rFonts w:hint="default"/>
        <w:lang w:val="en-US" w:eastAsia="zh-CN" w:bidi="ar-SA"/>
      </w:rPr>
    </w:lvl>
    <w:lvl w:ilvl="6" w:tentative="0">
      <w:start w:val="0"/>
      <w:numFmt w:val="bullet"/>
      <w:lvlText w:val="•"/>
      <w:lvlJc w:val="left"/>
      <w:pPr>
        <w:ind w:left="5999" w:hanging="481"/>
      </w:pPr>
      <w:rPr>
        <w:rFonts w:hint="default"/>
        <w:lang w:val="en-US" w:eastAsia="zh-CN" w:bidi="ar-SA"/>
      </w:rPr>
    </w:lvl>
    <w:lvl w:ilvl="7" w:tentative="0">
      <w:start w:val="0"/>
      <w:numFmt w:val="bullet"/>
      <w:lvlText w:val="•"/>
      <w:lvlJc w:val="left"/>
      <w:pPr>
        <w:ind w:left="7010" w:hanging="481"/>
      </w:pPr>
      <w:rPr>
        <w:rFonts w:hint="default"/>
        <w:lang w:val="en-US" w:eastAsia="zh-CN" w:bidi="ar-SA"/>
      </w:rPr>
    </w:lvl>
    <w:lvl w:ilvl="8" w:tentative="0">
      <w:start w:val="0"/>
      <w:numFmt w:val="bullet"/>
      <w:lvlText w:val="•"/>
      <w:lvlJc w:val="left"/>
      <w:pPr>
        <w:ind w:left="8022" w:hanging="481"/>
      </w:pPr>
      <w:rPr>
        <w:rFonts w:hint="default"/>
        <w:lang w:val="en-US" w:eastAsia="zh-CN" w:bidi="ar-SA"/>
      </w:rPr>
    </w:lvl>
  </w:abstractNum>
  <w:abstractNum w:abstractNumId="6">
    <w:nsid w:val="1BEC666D"/>
    <w:multiLevelType w:val="multilevel"/>
    <w:tmpl w:val="1BEC666D"/>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7">
    <w:nsid w:val="1F62192C"/>
    <w:multiLevelType w:val="multilevel"/>
    <w:tmpl w:val="1F62192C"/>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8">
    <w:nsid w:val="22914F8C"/>
    <w:multiLevelType w:val="multilevel"/>
    <w:tmpl w:val="22914F8C"/>
    <w:lvl w:ilvl="0" w:tentative="0">
      <w:start w:val="1"/>
      <w:numFmt w:val="decimal"/>
      <w:lvlText w:val="%1."/>
      <w:lvlJc w:val="left"/>
      <w:pPr>
        <w:ind w:left="228" w:hanging="361"/>
      </w:pPr>
      <w:rPr>
        <w:rFonts w:hint="default" w:ascii="宋体" w:hAnsi="宋体" w:eastAsia="宋体" w:cs="宋体"/>
        <w:w w:val="100"/>
        <w:sz w:val="22"/>
        <w:szCs w:val="22"/>
        <w:lang w:val="en-US" w:eastAsia="zh-CN" w:bidi="ar-SA"/>
      </w:rPr>
    </w:lvl>
    <w:lvl w:ilvl="1" w:tentative="0">
      <w:start w:val="1"/>
      <w:numFmt w:val="decimal"/>
      <w:lvlText w:val="%2."/>
      <w:lvlJc w:val="left"/>
      <w:pPr>
        <w:ind w:left="228" w:hanging="361"/>
      </w:pPr>
      <w:rPr>
        <w:rFonts w:hint="default" w:ascii="宋体" w:hAnsi="宋体" w:eastAsia="宋体" w:cs="宋体"/>
        <w:spacing w:val="-34"/>
        <w:w w:val="100"/>
        <w:sz w:val="22"/>
        <w:szCs w:val="22"/>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9">
    <w:nsid w:val="246447C8"/>
    <w:multiLevelType w:val="multilevel"/>
    <w:tmpl w:val="246447C8"/>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10">
    <w:nsid w:val="2C5447BC"/>
    <w:multiLevelType w:val="multilevel"/>
    <w:tmpl w:val="2C5447BC"/>
    <w:lvl w:ilvl="0" w:tentative="0">
      <w:start w:val="2"/>
      <w:numFmt w:val="decimal"/>
      <w:lvlText w:val="%1."/>
      <w:lvlJc w:val="left"/>
      <w:pPr>
        <w:ind w:left="1069"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11">
    <w:nsid w:val="2E0F3B30"/>
    <w:multiLevelType w:val="multilevel"/>
    <w:tmpl w:val="2E0F3B30"/>
    <w:lvl w:ilvl="0" w:tentative="0">
      <w:start w:val="1"/>
      <w:numFmt w:val="decimal"/>
      <w:lvlText w:val="%1."/>
      <w:lvlJc w:val="left"/>
      <w:pPr>
        <w:ind w:left="228" w:hanging="361"/>
      </w:pPr>
      <w:rPr>
        <w:rFonts w:hint="default" w:ascii="宋体" w:hAnsi="宋体" w:eastAsia="宋体" w:cs="宋体"/>
        <w:spacing w:val="-10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2">
    <w:nsid w:val="2FCF5FE7"/>
    <w:multiLevelType w:val="multilevel"/>
    <w:tmpl w:val="2FCF5FE7"/>
    <w:lvl w:ilvl="0" w:tentative="0">
      <w:start w:val="1"/>
      <w:numFmt w:val="decimal"/>
      <w:lvlText w:val="%1."/>
      <w:lvlJc w:val="left"/>
      <w:pPr>
        <w:ind w:left="1069"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13">
    <w:nsid w:val="312502BB"/>
    <w:multiLevelType w:val="multilevel"/>
    <w:tmpl w:val="312502BB"/>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14">
    <w:nsid w:val="3229035D"/>
    <w:multiLevelType w:val="multilevel"/>
    <w:tmpl w:val="3229035D"/>
    <w:lvl w:ilvl="0" w:tentative="0">
      <w:start w:val="1"/>
      <w:numFmt w:val="decimal"/>
      <w:lvlText w:val="%1."/>
      <w:lvlJc w:val="left"/>
      <w:pPr>
        <w:ind w:left="228" w:hanging="361"/>
      </w:pPr>
      <w:rPr>
        <w:rFonts w:hint="default" w:ascii="宋体" w:hAnsi="宋体" w:eastAsia="宋体" w:cs="宋体"/>
        <w:spacing w:val="-68"/>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5">
    <w:nsid w:val="34624370"/>
    <w:multiLevelType w:val="multilevel"/>
    <w:tmpl w:val="34624370"/>
    <w:lvl w:ilvl="0" w:tentative="0">
      <w:start w:val="1"/>
      <w:numFmt w:val="decimal"/>
      <w:lvlText w:val="%1."/>
      <w:lvlJc w:val="left"/>
      <w:pPr>
        <w:ind w:left="950"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868" w:hanging="243"/>
      </w:pPr>
      <w:rPr>
        <w:rFonts w:hint="default"/>
        <w:lang w:val="en-US" w:eastAsia="zh-CN" w:bidi="ar-SA"/>
      </w:rPr>
    </w:lvl>
    <w:lvl w:ilvl="2" w:tentative="0">
      <w:start w:val="0"/>
      <w:numFmt w:val="bullet"/>
      <w:lvlText w:val="•"/>
      <w:lvlJc w:val="left"/>
      <w:pPr>
        <w:ind w:left="2777" w:hanging="243"/>
      </w:pPr>
      <w:rPr>
        <w:rFonts w:hint="default"/>
        <w:lang w:val="en-US" w:eastAsia="zh-CN" w:bidi="ar-SA"/>
      </w:rPr>
    </w:lvl>
    <w:lvl w:ilvl="3" w:tentative="0">
      <w:start w:val="0"/>
      <w:numFmt w:val="bullet"/>
      <w:lvlText w:val="•"/>
      <w:lvlJc w:val="left"/>
      <w:pPr>
        <w:ind w:left="3685" w:hanging="243"/>
      </w:pPr>
      <w:rPr>
        <w:rFonts w:hint="default"/>
        <w:lang w:val="en-US" w:eastAsia="zh-CN" w:bidi="ar-SA"/>
      </w:rPr>
    </w:lvl>
    <w:lvl w:ilvl="4" w:tentative="0">
      <w:start w:val="0"/>
      <w:numFmt w:val="bullet"/>
      <w:lvlText w:val="•"/>
      <w:lvlJc w:val="left"/>
      <w:pPr>
        <w:ind w:left="4594" w:hanging="243"/>
      </w:pPr>
      <w:rPr>
        <w:rFonts w:hint="default"/>
        <w:lang w:val="en-US" w:eastAsia="zh-CN" w:bidi="ar-SA"/>
      </w:rPr>
    </w:lvl>
    <w:lvl w:ilvl="5" w:tentative="0">
      <w:start w:val="0"/>
      <w:numFmt w:val="bullet"/>
      <w:lvlText w:val="•"/>
      <w:lvlJc w:val="left"/>
      <w:pPr>
        <w:ind w:left="5503" w:hanging="243"/>
      </w:pPr>
      <w:rPr>
        <w:rFonts w:hint="default"/>
        <w:lang w:val="en-US" w:eastAsia="zh-CN" w:bidi="ar-SA"/>
      </w:rPr>
    </w:lvl>
    <w:lvl w:ilvl="6" w:tentative="0">
      <w:start w:val="0"/>
      <w:numFmt w:val="bullet"/>
      <w:lvlText w:val="•"/>
      <w:lvlJc w:val="left"/>
      <w:pPr>
        <w:ind w:left="6411" w:hanging="243"/>
      </w:pPr>
      <w:rPr>
        <w:rFonts w:hint="default"/>
        <w:lang w:val="en-US" w:eastAsia="zh-CN" w:bidi="ar-SA"/>
      </w:rPr>
    </w:lvl>
    <w:lvl w:ilvl="7" w:tentative="0">
      <w:start w:val="0"/>
      <w:numFmt w:val="bullet"/>
      <w:lvlText w:val="•"/>
      <w:lvlJc w:val="left"/>
      <w:pPr>
        <w:ind w:left="7320" w:hanging="243"/>
      </w:pPr>
      <w:rPr>
        <w:rFonts w:hint="default"/>
        <w:lang w:val="en-US" w:eastAsia="zh-CN" w:bidi="ar-SA"/>
      </w:rPr>
    </w:lvl>
    <w:lvl w:ilvl="8" w:tentative="0">
      <w:start w:val="0"/>
      <w:numFmt w:val="bullet"/>
      <w:lvlText w:val="•"/>
      <w:lvlJc w:val="left"/>
      <w:pPr>
        <w:ind w:left="8229" w:hanging="243"/>
      </w:pPr>
      <w:rPr>
        <w:rFonts w:hint="default"/>
        <w:lang w:val="en-US" w:eastAsia="zh-CN" w:bidi="ar-SA"/>
      </w:rPr>
    </w:lvl>
  </w:abstractNum>
  <w:abstractNum w:abstractNumId="16">
    <w:nsid w:val="3CCB06E1"/>
    <w:multiLevelType w:val="multilevel"/>
    <w:tmpl w:val="3CCB06E1"/>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17">
    <w:nsid w:val="3F044C24"/>
    <w:multiLevelType w:val="multilevel"/>
    <w:tmpl w:val="3F044C24"/>
    <w:lvl w:ilvl="0" w:tentative="0">
      <w:start w:val="3"/>
      <w:numFmt w:val="decimal"/>
      <w:lvlText w:val="%1."/>
      <w:lvlJc w:val="left"/>
      <w:pPr>
        <w:ind w:left="381" w:hanging="241"/>
      </w:pPr>
      <w:rPr>
        <w:rFonts w:hint="default" w:ascii="宋体" w:hAnsi="宋体" w:eastAsia="宋体" w:cs="宋体"/>
        <w:w w:val="100"/>
        <w:sz w:val="22"/>
        <w:szCs w:val="22"/>
        <w:lang w:val="en-US" w:eastAsia="zh-CN" w:bidi="ar-SA"/>
      </w:rPr>
    </w:lvl>
    <w:lvl w:ilvl="1" w:tentative="0">
      <w:start w:val="1"/>
      <w:numFmt w:val="decimal"/>
      <w:lvlText w:val="%2."/>
      <w:lvlJc w:val="left"/>
      <w:pPr>
        <w:ind w:left="654" w:hanging="360"/>
      </w:pPr>
      <w:rPr>
        <w:rFonts w:hint="default" w:ascii="宋体" w:hAnsi="宋体" w:eastAsia="宋体" w:cs="宋体"/>
        <w:w w:val="100"/>
        <w:sz w:val="24"/>
        <w:szCs w:val="24"/>
        <w:lang w:val="en-US" w:eastAsia="zh-CN" w:bidi="ar-SA"/>
      </w:rPr>
    </w:lvl>
    <w:lvl w:ilvl="2" w:tentative="0">
      <w:start w:val="0"/>
      <w:numFmt w:val="bullet"/>
      <w:lvlText w:val="•"/>
      <w:lvlJc w:val="left"/>
      <w:pPr>
        <w:ind w:left="1707" w:hanging="360"/>
      </w:pPr>
      <w:rPr>
        <w:rFonts w:hint="default"/>
        <w:lang w:val="en-US" w:eastAsia="zh-CN" w:bidi="ar-SA"/>
      </w:rPr>
    </w:lvl>
    <w:lvl w:ilvl="3" w:tentative="0">
      <w:start w:val="0"/>
      <w:numFmt w:val="bullet"/>
      <w:lvlText w:val="•"/>
      <w:lvlJc w:val="left"/>
      <w:pPr>
        <w:ind w:left="2754" w:hanging="360"/>
      </w:pPr>
      <w:rPr>
        <w:rFonts w:hint="default"/>
        <w:lang w:val="en-US" w:eastAsia="zh-CN" w:bidi="ar-SA"/>
      </w:rPr>
    </w:lvl>
    <w:lvl w:ilvl="4" w:tentative="0">
      <w:start w:val="0"/>
      <w:numFmt w:val="bullet"/>
      <w:lvlText w:val="•"/>
      <w:lvlJc w:val="left"/>
      <w:pPr>
        <w:ind w:left="3802" w:hanging="360"/>
      </w:pPr>
      <w:rPr>
        <w:rFonts w:hint="default"/>
        <w:lang w:val="en-US" w:eastAsia="zh-CN" w:bidi="ar-SA"/>
      </w:rPr>
    </w:lvl>
    <w:lvl w:ilvl="5" w:tentative="0">
      <w:start w:val="0"/>
      <w:numFmt w:val="bullet"/>
      <w:lvlText w:val="•"/>
      <w:lvlJc w:val="left"/>
      <w:pPr>
        <w:ind w:left="4849" w:hanging="360"/>
      </w:pPr>
      <w:rPr>
        <w:rFonts w:hint="default"/>
        <w:lang w:val="en-US" w:eastAsia="zh-CN" w:bidi="ar-SA"/>
      </w:rPr>
    </w:lvl>
    <w:lvl w:ilvl="6" w:tentative="0">
      <w:start w:val="0"/>
      <w:numFmt w:val="bullet"/>
      <w:lvlText w:val="•"/>
      <w:lvlJc w:val="left"/>
      <w:pPr>
        <w:ind w:left="5896" w:hanging="360"/>
      </w:pPr>
      <w:rPr>
        <w:rFonts w:hint="default"/>
        <w:lang w:val="en-US" w:eastAsia="zh-CN" w:bidi="ar-SA"/>
      </w:rPr>
    </w:lvl>
    <w:lvl w:ilvl="7" w:tentative="0">
      <w:start w:val="0"/>
      <w:numFmt w:val="bullet"/>
      <w:lvlText w:val="•"/>
      <w:lvlJc w:val="left"/>
      <w:pPr>
        <w:ind w:left="6944" w:hanging="360"/>
      </w:pPr>
      <w:rPr>
        <w:rFonts w:hint="default"/>
        <w:lang w:val="en-US" w:eastAsia="zh-CN" w:bidi="ar-SA"/>
      </w:rPr>
    </w:lvl>
    <w:lvl w:ilvl="8" w:tentative="0">
      <w:start w:val="0"/>
      <w:numFmt w:val="bullet"/>
      <w:lvlText w:val="•"/>
      <w:lvlJc w:val="left"/>
      <w:pPr>
        <w:ind w:left="7991" w:hanging="360"/>
      </w:pPr>
      <w:rPr>
        <w:rFonts w:hint="default"/>
        <w:lang w:val="en-US" w:eastAsia="zh-CN" w:bidi="ar-SA"/>
      </w:rPr>
    </w:lvl>
  </w:abstractNum>
  <w:abstractNum w:abstractNumId="18">
    <w:nsid w:val="43554767"/>
    <w:multiLevelType w:val="multilevel"/>
    <w:tmpl w:val="43554767"/>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9">
    <w:nsid w:val="44E674FD"/>
    <w:multiLevelType w:val="multilevel"/>
    <w:tmpl w:val="44E674FD"/>
    <w:lvl w:ilvl="0" w:tentative="0">
      <w:start w:val="1"/>
      <w:numFmt w:val="decimal"/>
      <w:lvlText w:val="%1."/>
      <w:lvlJc w:val="left"/>
      <w:pPr>
        <w:ind w:left="1069"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20">
    <w:nsid w:val="46B14939"/>
    <w:multiLevelType w:val="multilevel"/>
    <w:tmpl w:val="46B14939"/>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1">
    <w:nsid w:val="49BA2334"/>
    <w:multiLevelType w:val="multilevel"/>
    <w:tmpl w:val="49BA2334"/>
    <w:lvl w:ilvl="0" w:tentative="0">
      <w:start w:val="1"/>
      <w:numFmt w:val="decimal"/>
      <w:lvlText w:val="%1."/>
      <w:lvlJc w:val="left"/>
      <w:pPr>
        <w:ind w:left="228" w:hanging="361"/>
      </w:pPr>
      <w:rPr>
        <w:rFonts w:hint="default" w:ascii="宋体" w:hAnsi="宋体" w:eastAsia="宋体" w:cs="宋体"/>
        <w:spacing w:val="-1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22">
    <w:nsid w:val="4C5E03A7"/>
    <w:multiLevelType w:val="multilevel"/>
    <w:tmpl w:val="4C5E03A7"/>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3">
    <w:nsid w:val="4E89286D"/>
    <w:multiLevelType w:val="multilevel"/>
    <w:tmpl w:val="4E89286D"/>
    <w:lvl w:ilvl="0" w:tentative="0">
      <w:start w:val="1"/>
      <w:numFmt w:val="decimal"/>
      <w:lvlText w:val="%1."/>
      <w:lvlJc w:val="left"/>
      <w:pPr>
        <w:ind w:left="1069" w:hanging="36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24">
    <w:nsid w:val="4F953BB1"/>
    <w:multiLevelType w:val="multilevel"/>
    <w:tmpl w:val="4F953BB1"/>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25">
    <w:nsid w:val="5176525B"/>
    <w:multiLevelType w:val="multilevel"/>
    <w:tmpl w:val="5176525B"/>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6">
    <w:nsid w:val="5263795B"/>
    <w:multiLevelType w:val="multilevel"/>
    <w:tmpl w:val="5263795B"/>
    <w:lvl w:ilvl="0" w:tentative="0">
      <w:start w:val="1"/>
      <w:numFmt w:val="decimal"/>
      <w:lvlText w:val="%1."/>
      <w:lvlJc w:val="left"/>
      <w:pPr>
        <w:ind w:left="228" w:hanging="361"/>
      </w:pPr>
      <w:rPr>
        <w:rFonts w:hint="default" w:ascii="宋体" w:hAnsi="宋体" w:eastAsia="宋体" w:cs="宋体"/>
        <w:spacing w:val="-2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27">
    <w:nsid w:val="52EF5948"/>
    <w:multiLevelType w:val="multilevel"/>
    <w:tmpl w:val="52EF5948"/>
    <w:lvl w:ilvl="0" w:tentative="0">
      <w:start w:val="1"/>
      <w:numFmt w:val="decimal"/>
      <w:lvlText w:val="%1."/>
      <w:lvlJc w:val="left"/>
      <w:pPr>
        <w:ind w:left="589" w:hanging="360"/>
      </w:pPr>
      <w:rPr>
        <w:rFonts w:hint="default" w:ascii="宋体" w:hAnsi="宋体" w:eastAsia="宋体" w:cs="宋体"/>
        <w:w w:val="100"/>
        <w:sz w:val="24"/>
        <w:szCs w:val="24"/>
        <w:lang w:val="en-US" w:eastAsia="zh-CN" w:bidi="ar-SA"/>
      </w:rPr>
    </w:lvl>
    <w:lvl w:ilvl="1" w:tentative="0">
      <w:start w:val="0"/>
      <w:numFmt w:val="bullet"/>
      <w:lvlText w:val="•"/>
      <w:lvlJc w:val="left"/>
      <w:pPr>
        <w:ind w:left="1474" w:hanging="360"/>
      </w:pPr>
      <w:rPr>
        <w:rFonts w:hint="default"/>
        <w:lang w:val="en-US" w:eastAsia="zh-CN" w:bidi="ar-SA"/>
      </w:rPr>
    </w:lvl>
    <w:lvl w:ilvl="2" w:tentative="0">
      <w:start w:val="0"/>
      <w:numFmt w:val="bullet"/>
      <w:lvlText w:val="•"/>
      <w:lvlJc w:val="left"/>
      <w:pPr>
        <w:ind w:left="2369" w:hanging="360"/>
      </w:pPr>
      <w:rPr>
        <w:rFonts w:hint="default"/>
        <w:lang w:val="en-US" w:eastAsia="zh-CN" w:bidi="ar-SA"/>
      </w:rPr>
    </w:lvl>
    <w:lvl w:ilvl="3" w:tentative="0">
      <w:start w:val="0"/>
      <w:numFmt w:val="bullet"/>
      <w:lvlText w:val="•"/>
      <w:lvlJc w:val="left"/>
      <w:pPr>
        <w:ind w:left="3263" w:hanging="360"/>
      </w:pPr>
      <w:rPr>
        <w:rFonts w:hint="default"/>
        <w:lang w:val="en-US" w:eastAsia="zh-CN" w:bidi="ar-SA"/>
      </w:rPr>
    </w:lvl>
    <w:lvl w:ilvl="4" w:tentative="0">
      <w:start w:val="0"/>
      <w:numFmt w:val="bullet"/>
      <w:lvlText w:val="•"/>
      <w:lvlJc w:val="left"/>
      <w:pPr>
        <w:ind w:left="4158" w:hanging="360"/>
      </w:pPr>
      <w:rPr>
        <w:rFonts w:hint="default"/>
        <w:lang w:val="en-US" w:eastAsia="zh-CN" w:bidi="ar-SA"/>
      </w:rPr>
    </w:lvl>
    <w:lvl w:ilvl="5" w:tentative="0">
      <w:start w:val="0"/>
      <w:numFmt w:val="bullet"/>
      <w:lvlText w:val="•"/>
      <w:lvlJc w:val="left"/>
      <w:pPr>
        <w:ind w:left="5053" w:hanging="360"/>
      </w:pPr>
      <w:rPr>
        <w:rFonts w:hint="default"/>
        <w:lang w:val="en-US" w:eastAsia="zh-CN" w:bidi="ar-SA"/>
      </w:rPr>
    </w:lvl>
    <w:lvl w:ilvl="6" w:tentative="0">
      <w:start w:val="0"/>
      <w:numFmt w:val="bullet"/>
      <w:lvlText w:val="•"/>
      <w:lvlJc w:val="left"/>
      <w:pPr>
        <w:ind w:left="5947" w:hanging="360"/>
      </w:pPr>
      <w:rPr>
        <w:rFonts w:hint="default"/>
        <w:lang w:val="en-US" w:eastAsia="zh-CN" w:bidi="ar-SA"/>
      </w:rPr>
    </w:lvl>
    <w:lvl w:ilvl="7" w:tentative="0">
      <w:start w:val="0"/>
      <w:numFmt w:val="bullet"/>
      <w:lvlText w:val="•"/>
      <w:lvlJc w:val="left"/>
      <w:pPr>
        <w:ind w:left="6842" w:hanging="360"/>
      </w:pPr>
      <w:rPr>
        <w:rFonts w:hint="default"/>
        <w:lang w:val="en-US" w:eastAsia="zh-CN" w:bidi="ar-SA"/>
      </w:rPr>
    </w:lvl>
    <w:lvl w:ilvl="8" w:tentative="0">
      <w:start w:val="0"/>
      <w:numFmt w:val="bullet"/>
      <w:lvlText w:val="•"/>
      <w:lvlJc w:val="left"/>
      <w:pPr>
        <w:ind w:left="7737" w:hanging="360"/>
      </w:pPr>
      <w:rPr>
        <w:rFonts w:hint="default"/>
        <w:lang w:val="en-US" w:eastAsia="zh-CN" w:bidi="ar-SA"/>
      </w:rPr>
    </w:lvl>
  </w:abstractNum>
  <w:abstractNum w:abstractNumId="28">
    <w:nsid w:val="54F507BA"/>
    <w:multiLevelType w:val="multilevel"/>
    <w:tmpl w:val="54F507BA"/>
    <w:lvl w:ilvl="0" w:tentative="0">
      <w:start w:val="1"/>
      <w:numFmt w:val="decimal"/>
      <w:lvlText w:val="%1."/>
      <w:lvlJc w:val="left"/>
      <w:pPr>
        <w:ind w:left="228"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3"/>
      </w:pPr>
      <w:rPr>
        <w:rFonts w:hint="default"/>
        <w:lang w:val="en-US" w:eastAsia="zh-CN" w:bidi="ar-SA"/>
      </w:rPr>
    </w:lvl>
    <w:lvl w:ilvl="2" w:tentative="0">
      <w:start w:val="0"/>
      <w:numFmt w:val="bullet"/>
      <w:lvlText w:val="•"/>
      <w:lvlJc w:val="left"/>
      <w:pPr>
        <w:ind w:left="2185" w:hanging="243"/>
      </w:pPr>
      <w:rPr>
        <w:rFonts w:hint="default"/>
        <w:lang w:val="en-US" w:eastAsia="zh-CN" w:bidi="ar-SA"/>
      </w:rPr>
    </w:lvl>
    <w:lvl w:ilvl="3" w:tentative="0">
      <w:start w:val="0"/>
      <w:numFmt w:val="bullet"/>
      <w:lvlText w:val="•"/>
      <w:lvlJc w:val="left"/>
      <w:pPr>
        <w:ind w:left="3167" w:hanging="243"/>
      </w:pPr>
      <w:rPr>
        <w:rFonts w:hint="default"/>
        <w:lang w:val="en-US" w:eastAsia="zh-CN" w:bidi="ar-SA"/>
      </w:rPr>
    </w:lvl>
    <w:lvl w:ilvl="4" w:tentative="0">
      <w:start w:val="0"/>
      <w:numFmt w:val="bullet"/>
      <w:lvlText w:val="•"/>
      <w:lvlJc w:val="left"/>
      <w:pPr>
        <w:ind w:left="4150" w:hanging="243"/>
      </w:pPr>
      <w:rPr>
        <w:rFonts w:hint="default"/>
        <w:lang w:val="en-US" w:eastAsia="zh-CN" w:bidi="ar-SA"/>
      </w:rPr>
    </w:lvl>
    <w:lvl w:ilvl="5" w:tentative="0">
      <w:start w:val="0"/>
      <w:numFmt w:val="bullet"/>
      <w:lvlText w:val="•"/>
      <w:lvlJc w:val="left"/>
      <w:pPr>
        <w:ind w:left="5133" w:hanging="243"/>
      </w:pPr>
      <w:rPr>
        <w:rFonts w:hint="default"/>
        <w:lang w:val="en-US" w:eastAsia="zh-CN" w:bidi="ar-SA"/>
      </w:rPr>
    </w:lvl>
    <w:lvl w:ilvl="6" w:tentative="0">
      <w:start w:val="0"/>
      <w:numFmt w:val="bullet"/>
      <w:lvlText w:val="•"/>
      <w:lvlJc w:val="left"/>
      <w:pPr>
        <w:ind w:left="6115" w:hanging="243"/>
      </w:pPr>
      <w:rPr>
        <w:rFonts w:hint="default"/>
        <w:lang w:val="en-US" w:eastAsia="zh-CN" w:bidi="ar-SA"/>
      </w:rPr>
    </w:lvl>
    <w:lvl w:ilvl="7" w:tentative="0">
      <w:start w:val="0"/>
      <w:numFmt w:val="bullet"/>
      <w:lvlText w:val="•"/>
      <w:lvlJc w:val="left"/>
      <w:pPr>
        <w:ind w:left="7098" w:hanging="243"/>
      </w:pPr>
      <w:rPr>
        <w:rFonts w:hint="default"/>
        <w:lang w:val="en-US" w:eastAsia="zh-CN" w:bidi="ar-SA"/>
      </w:rPr>
    </w:lvl>
    <w:lvl w:ilvl="8" w:tentative="0">
      <w:start w:val="0"/>
      <w:numFmt w:val="bullet"/>
      <w:lvlText w:val="•"/>
      <w:lvlJc w:val="left"/>
      <w:pPr>
        <w:ind w:left="8081" w:hanging="243"/>
      </w:pPr>
      <w:rPr>
        <w:rFonts w:hint="default"/>
        <w:lang w:val="en-US" w:eastAsia="zh-CN" w:bidi="ar-SA"/>
      </w:rPr>
    </w:lvl>
  </w:abstractNum>
  <w:abstractNum w:abstractNumId="29">
    <w:nsid w:val="5A5A0959"/>
    <w:multiLevelType w:val="multilevel"/>
    <w:tmpl w:val="5A5A0959"/>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30">
    <w:nsid w:val="6269274E"/>
    <w:multiLevelType w:val="multilevel"/>
    <w:tmpl w:val="6269274E"/>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1">
    <w:nsid w:val="63807C15"/>
    <w:multiLevelType w:val="multilevel"/>
    <w:tmpl w:val="63807C15"/>
    <w:lvl w:ilvl="0" w:tentative="0">
      <w:start w:val="1"/>
      <w:numFmt w:val="decimal"/>
      <w:lvlText w:val="%1."/>
      <w:lvlJc w:val="left"/>
      <w:pPr>
        <w:ind w:left="228" w:hanging="361"/>
      </w:pPr>
      <w:rPr>
        <w:rFonts w:hint="default" w:ascii="宋体" w:hAnsi="宋体" w:eastAsia="宋体" w:cs="宋体"/>
        <w:spacing w:val="-17"/>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2">
    <w:nsid w:val="63853059"/>
    <w:multiLevelType w:val="multilevel"/>
    <w:tmpl w:val="63853059"/>
    <w:lvl w:ilvl="0" w:tentative="0">
      <w:start w:val="1"/>
      <w:numFmt w:val="decimal"/>
      <w:lvlText w:val="%1."/>
      <w:lvlJc w:val="left"/>
      <w:pPr>
        <w:ind w:left="228"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3"/>
      </w:pPr>
      <w:rPr>
        <w:rFonts w:hint="default"/>
        <w:lang w:val="en-US" w:eastAsia="zh-CN" w:bidi="ar-SA"/>
      </w:rPr>
    </w:lvl>
    <w:lvl w:ilvl="2" w:tentative="0">
      <w:start w:val="0"/>
      <w:numFmt w:val="bullet"/>
      <w:lvlText w:val="•"/>
      <w:lvlJc w:val="left"/>
      <w:pPr>
        <w:ind w:left="2185" w:hanging="243"/>
      </w:pPr>
      <w:rPr>
        <w:rFonts w:hint="default"/>
        <w:lang w:val="en-US" w:eastAsia="zh-CN" w:bidi="ar-SA"/>
      </w:rPr>
    </w:lvl>
    <w:lvl w:ilvl="3" w:tentative="0">
      <w:start w:val="0"/>
      <w:numFmt w:val="bullet"/>
      <w:lvlText w:val="•"/>
      <w:lvlJc w:val="left"/>
      <w:pPr>
        <w:ind w:left="3167" w:hanging="243"/>
      </w:pPr>
      <w:rPr>
        <w:rFonts w:hint="default"/>
        <w:lang w:val="en-US" w:eastAsia="zh-CN" w:bidi="ar-SA"/>
      </w:rPr>
    </w:lvl>
    <w:lvl w:ilvl="4" w:tentative="0">
      <w:start w:val="0"/>
      <w:numFmt w:val="bullet"/>
      <w:lvlText w:val="•"/>
      <w:lvlJc w:val="left"/>
      <w:pPr>
        <w:ind w:left="4150" w:hanging="243"/>
      </w:pPr>
      <w:rPr>
        <w:rFonts w:hint="default"/>
        <w:lang w:val="en-US" w:eastAsia="zh-CN" w:bidi="ar-SA"/>
      </w:rPr>
    </w:lvl>
    <w:lvl w:ilvl="5" w:tentative="0">
      <w:start w:val="0"/>
      <w:numFmt w:val="bullet"/>
      <w:lvlText w:val="•"/>
      <w:lvlJc w:val="left"/>
      <w:pPr>
        <w:ind w:left="5133" w:hanging="243"/>
      </w:pPr>
      <w:rPr>
        <w:rFonts w:hint="default"/>
        <w:lang w:val="en-US" w:eastAsia="zh-CN" w:bidi="ar-SA"/>
      </w:rPr>
    </w:lvl>
    <w:lvl w:ilvl="6" w:tentative="0">
      <w:start w:val="0"/>
      <w:numFmt w:val="bullet"/>
      <w:lvlText w:val="•"/>
      <w:lvlJc w:val="left"/>
      <w:pPr>
        <w:ind w:left="6115" w:hanging="243"/>
      </w:pPr>
      <w:rPr>
        <w:rFonts w:hint="default"/>
        <w:lang w:val="en-US" w:eastAsia="zh-CN" w:bidi="ar-SA"/>
      </w:rPr>
    </w:lvl>
    <w:lvl w:ilvl="7" w:tentative="0">
      <w:start w:val="0"/>
      <w:numFmt w:val="bullet"/>
      <w:lvlText w:val="•"/>
      <w:lvlJc w:val="left"/>
      <w:pPr>
        <w:ind w:left="7098" w:hanging="243"/>
      </w:pPr>
      <w:rPr>
        <w:rFonts w:hint="default"/>
        <w:lang w:val="en-US" w:eastAsia="zh-CN" w:bidi="ar-SA"/>
      </w:rPr>
    </w:lvl>
    <w:lvl w:ilvl="8" w:tentative="0">
      <w:start w:val="0"/>
      <w:numFmt w:val="bullet"/>
      <w:lvlText w:val="•"/>
      <w:lvlJc w:val="left"/>
      <w:pPr>
        <w:ind w:left="8081" w:hanging="243"/>
      </w:pPr>
      <w:rPr>
        <w:rFonts w:hint="default"/>
        <w:lang w:val="en-US" w:eastAsia="zh-CN" w:bidi="ar-SA"/>
      </w:rPr>
    </w:lvl>
  </w:abstractNum>
  <w:abstractNum w:abstractNumId="33">
    <w:nsid w:val="66242F87"/>
    <w:multiLevelType w:val="multilevel"/>
    <w:tmpl w:val="66242F87"/>
    <w:lvl w:ilvl="0" w:tentative="0">
      <w:start w:val="1"/>
      <w:numFmt w:val="decimal"/>
      <w:lvlText w:val="%1."/>
      <w:lvlJc w:val="left"/>
      <w:pPr>
        <w:ind w:left="228" w:hanging="361"/>
      </w:pPr>
      <w:rPr>
        <w:rFonts w:hint="default" w:ascii="宋体" w:hAnsi="宋体" w:eastAsia="宋体" w:cs="宋体"/>
        <w:spacing w:val="-2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4">
    <w:nsid w:val="662C60E7"/>
    <w:multiLevelType w:val="multilevel"/>
    <w:tmpl w:val="662C60E7"/>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35">
    <w:nsid w:val="66B74957"/>
    <w:multiLevelType w:val="multilevel"/>
    <w:tmpl w:val="66B74957"/>
    <w:lvl w:ilvl="0" w:tentative="0">
      <w:start w:val="1"/>
      <w:numFmt w:val="decimal"/>
      <w:lvlText w:val="%1."/>
      <w:lvlJc w:val="left"/>
      <w:pPr>
        <w:ind w:left="228" w:hanging="361"/>
      </w:pPr>
      <w:rPr>
        <w:rFonts w:hint="default" w:ascii="宋体" w:hAnsi="宋体" w:eastAsia="宋体" w:cs="宋体"/>
        <w:spacing w:val="-77"/>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6">
    <w:nsid w:val="6A645090"/>
    <w:multiLevelType w:val="multilevel"/>
    <w:tmpl w:val="6A645090"/>
    <w:lvl w:ilvl="0" w:tentative="0">
      <w:start w:val="1"/>
      <w:numFmt w:val="decimal"/>
      <w:lvlText w:val="%1."/>
      <w:lvlJc w:val="left"/>
      <w:pPr>
        <w:ind w:left="228" w:hanging="36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7">
    <w:nsid w:val="72C72012"/>
    <w:multiLevelType w:val="multilevel"/>
    <w:tmpl w:val="72C72012"/>
    <w:lvl w:ilvl="0" w:tentative="0">
      <w:start w:val="1"/>
      <w:numFmt w:val="decimal"/>
      <w:lvlText w:val="%1."/>
      <w:lvlJc w:val="left"/>
      <w:pPr>
        <w:ind w:left="346"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949" w:hanging="241"/>
      </w:pPr>
      <w:rPr>
        <w:rFonts w:hint="default"/>
        <w:lang w:val="en-US" w:eastAsia="zh-CN" w:bidi="ar-SA"/>
      </w:rPr>
    </w:lvl>
    <w:lvl w:ilvl="2" w:tentative="0">
      <w:start w:val="0"/>
      <w:numFmt w:val="bullet"/>
      <w:lvlText w:val="•"/>
      <w:lvlJc w:val="left"/>
      <w:pPr>
        <w:ind w:left="1559" w:hanging="241"/>
      </w:pPr>
      <w:rPr>
        <w:rFonts w:hint="default"/>
        <w:lang w:val="en-US" w:eastAsia="zh-CN" w:bidi="ar-SA"/>
      </w:rPr>
    </w:lvl>
    <w:lvl w:ilvl="3" w:tentative="0">
      <w:start w:val="0"/>
      <w:numFmt w:val="bullet"/>
      <w:lvlText w:val="•"/>
      <w:lvlJc w:val="left"/>
      <w:pPr>
        <w:ind w:left="2168" w:hanging="241"/>
      </w:pPr>
      <w:rPr>
        <w:rFonts w:hint="default"/>
        <w:lang w:val="en-US" w:eastAsia="zh-CN" w:bidi="ar-SA"/>
      </w:rPr>
    </w:lvl>
    <w:lvl w:ilvl="4" w:tentative="0">
      <w:start w:val="0"/>
      <w:numFmt w:val="bullet"/>
      <w:lvlText w:val="•"/>
      <w:lvlJc w:val="left"/>
      <w:pPr>
        <w:ind w:left="2778" w:hanging="241"/>
      </w:pPr>
      <w:rPr>
        <w:rFonts w:hint="default"/>
        <w:lang w:val="en-US" w:eastAsia="zh-CN" w:bidi="ar-SA"/>
      </w:rPr>
    </w:lvl>
    <w:lvl w:ilvl="5" w:tentative="0">
      <w:start w:val="0"/>
      <w:numFmt w:val="bullet"/>
      <w:lvlText w:val="•"/>
      <w:lvlJc w:val="left"/>
      <w:pPr>
        <w:ind w:left="3387" w:hanging="241"/>
      </w:pPr>
      <w:rPr>
        <w:rFonts w:hint="default"/>
        <w:lang w:val="en-US" w:eastAsia="zh-CN" w:bidi="ar-SA"/>
      </w:rPr>
    </w:lvl>
    <w:lvl w:ilvl="6" w:tentative="0">
      <w:start w:val="0"/>
      <w:numFmt w:val="bullet"/>
      <w:lvlText w:val="•"/>
      <w:lvlJc w:val="left"/>
      <w:pPr>
        <w:ind w:left="3997" w:hanging="241"/>
      </w:pPr>
      <w:rPr>
        <w:rFonts w:hint="default"/>
        <w:lang w:val="en-US" w:eastAsia="zh-CN" w:bidi="ar-SA"/>
      </w:rPr>
    </w:lvl>
    <w:lvl w:ilvl="7" w:tentative="0">
      <w:start w:val="0"/>
      <w:numFmt w:val="bullet"/>
      <w:lvlText w:val="•"/>
      <w:lvlJc w:val="left"/>
      <w:pPr>
        <w:ind w:left="4606" w:hanging="241"/>
      </w:pPr>
      <w:rPr>
        <w:rFonts w:hint="default"/>
        <w:lang w:val="en-US" w:eastAsia="zh-CN" w:bidi="ar-SA"/>
      </w:rPr>
    </w:lvl>
    <w:lvl w:ilvl="8" w:tentative="0">
      <w:start w:val="0"/>
      <w:numFmt w:val="bullet"/>
      <w:lvlText w:val="•"/>
      <w:lvlJc w:val="left"/>
      <w:pPr>
        <w:ind w:left="5216" w:hanging="241"/>
      </w:pPr>
      <w:rPr>
        <w:rFonts w:hint="default"/>
        <w:lang w:val="en-US" w:eastAsia="zh-CN" w:bidi="ar-SA"/>
      </w:rPr>
    </w:lvl>
  </w:abstractNum>
  <w:abstractNum w:abstractNumId="38">
    <w:nsid w:val="798D6EAF"/>
    <w:multiLevelType w:val="multilevel"/>
    <w:tmpl w:val="798D6EAF"/>
    <w:lvl w:ilvl="0" w:tentative="0">
      <w:start w:val="1"/>
      <w:numFmt w:val="decimal"/>
      <w:lvlText w:val="%1."/>
      <w:lvlJc w:val="left"/>
      <w:pPr>
        <w:ind w:left="228"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9">
    <w:nsid w:val="79D40C1D"/>
    <w:multiLevelType w:val="multilevel"/>
    <w:tmpl w:val="79D40C1D"/>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40">
    <w:nsid w:val="7D13271A"/>
    <w:multiLevelType w:val="multilevel"/>
    <w:tmpl w:val="7D13271A"/>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41">
    <w:nsid w:val="7F9849A0"/>
    <w:multiLevelType w:val="multilevel"/>
    <w:tmpl w:val="7F9849A0"/>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num w:numId="1">
    <w:abstractNumId w:val="1"/>
  </w:num>
  <w:num w:numId="2">
    <w:abstractNumId w:val="8"/>
  </w:num>
  <w:num w:numId="3">
    <w:abstractNumId w:val="18"/>
  </w:num>
  <w:num w:numId="4">
    <w:abstractNumId w:val="26"/>
  </w:num>
  <w:num w:numId="5">
    <w:abstractNumId w:val="12"/>
  </w:num>
  <w:num w:numId="6">
    <w:abstractNumId w:val="7"/>
  </w:num>
  <w:num w:numId="7">
    <w:abstractNumId w:val="0"/>
  </w:num>
  <w:num w:numId="8">
    <w:abstractNumId w:val="25"/>
  </w:num>
  <w:num w:numId="9">
    <w:abstractNumId w:val="31"/>
  </w:num>
  <w:num w:numId="10">
    <w:abstractNumId w:val="20"/>
  </w:num>
  <w:num w:numId="11">
    <w:abstractNumId w:val="2"/>
  </w:num>
  <w:num w:numId="12">
    <w:abstractNumId w:val="39"/>
  </w:num>
  <w:num w:numId="13">
    <w:abstractNumId w:val="15"/>
  </w:num>
  <w:num w:numId="14">
    <w:abstractNumId w:val="28"/>
  </w:num>
  <w:num w:numId="15">
    <w:abstractNumId w:val="23"/>
  </w:num>
  <w:num w:numId="16">
    <w:abstractNumId w:val="35"/>
  </w:num>
  <w:num w:numId="17">
    <w:abstractNumId w:val="14"/>
  </w:num>
  <w:num w:numId="18">
    <w:abstractNumId w:val="9"/>
  </w:num>
  <w:num w:numId="19">
    <w:abstractNumId w:val="34"/>
  </w:num>
  <w:num w:numId="20">
    <w:abstractNumId w:val="40"/>
  </w:num>
  <w:num w:numId="21">
    <w:abstractNumId w:val="36"/>
  </w:num>
  <w:num w:numId="22">
    <w:abstractNumId w:val="10"/>
  </w:num>
  <w:num w:numId="23">
    <w:abstractNumId w:val="6"/>
  </w:num>
  <w:num w:numId="24">
    <w:abstractNumId w:val="21"/>
  </w:num>
  <w:num w:numId="25">
    <w:abstractNumId w:val="30"/>
  </w:num>
  <w:num w:numId="26">
    <w:abstractNumId w:val="38"/>
  </w:num>
  <w:num w:numId="27">
    <w:abstractNumId w:val="33"/>
  </w:num>
  <w:num w:numId="28">
    <w:abstractNumId w:val="22"/>
  </w:num>
  <w:num w:numId="29">
    <w:abstractNumId w:val="41"/>
  </w:num>
  <w:num w:numId="30">
    <w:abstractNumId w:val="37"/>
  </w:num>
  <w:num w:numId="31">
    <w:abstractNumId w:val="4"/>
  </w:num>
  <w:num w:numId="32">
    <w:abstractNumId w:val="24"/>
  </w:num>
  <w:num w:numId="33">
    <w:abstractNumId w:val="29"/>
  </w:num>
  <w:num w:numId="34">
    <w:abstractNumId w:val="32"/>
  </w:num>
  <w:num w:numId="35">
    <w:abstractNumId w:val="5"/>
  </w:num>
  <w:num w:numId="36">
    <w:abstractNumId w:val="16"/>
  </w:num>
  <w:num w:numId="37">
    <w:abstractNumId w:val="13"/>
  </w:num>
  <w:num w:numId="38">
    <w:abstractNumId w:val="11"/>
  </w:num>
  <w:num w:numId="39">
    <w:abstractNumId w:val="19"/>
  </w:num>
  <w:num w:numId="40">
    <w:abstractNumId w:val="17"/>
  </w:num>
  <w:num w:numId="41">
    <w:abstractNumId w:val="3"/>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shapeLayoutLikeWW8/>
    <w:useFELayout/>
    <w:compatSetting w:name="compatibilityMode" w:uri="http://schemas.microsoft.com/office/word" w:val="12"/>
  </w:compat>
  <w:rsids>
    <w:rsidRoot w:val="00F27287"/>
    <w:rsid w:val="00000658"/>
    <w:rsid w:val="000201B6"/>
    <w:rsid w:val="00027DD4"/>
    <w:rsid w:val="0004663D"/>
    <w:rsid w:val="0006763F"/>
    <w:rsid w:val="000A7D3B"/>
    <w:rsid w:val="000F2102"/>
    <w:rsid w:val="001034A4"/>
    <w:rsid w:val="001F4F15"/>
    <w:rsid w:val="0023741E"/>
    <w:rsid w:val="002B649E"/>
    <w:rsid w:val="002F1E80"/>
    <w:rsid w:val="00310A44"/>
    <w:rsid w:val="00370E2B"/>
    <w:rsid w:val="003867F3"/>
    <w:rsid w:val="00493BCA"/>
    <w:rsid w:val="004D6156"/>
    <w:rsid w:val="00500647"/>
    <w:rsid w:val="00501278"/>
    <w:rsid w:val="0050544A"/>
    <w:rsid w:val="00566D53"/>
    <w:rsid w:val="0057155C"/>
    <w:rsid w:val="00585ECB"/>
    <w:rsid w:val="005C2787"/>
    <w:rsid w:val="005E6ED3"/>
    <w:rsid w:val="00712005"/>
    <w:rsid w:val="007222CE"/>
    <w:rsid w:val="00735F26"/>
    <w:rsid w:val="00790199"/>
    <w:rsid w:val="007B39F5"/>
    <w:rsid w:val="007C324D"/>
    <w:rsid w:val="008106CD"/>
    <w:rsid w:val="00827900"/>
    <w:rsid w:val="00840E6E"/>
    <w:rsid w:val="00870D23"/>
    <w:rsid w:val="00881458"/>
    <w:rsid w:val="008C7F1D"/>
    <w:rsid w:val="008E72FB"/>
    <w:rsid w:val="00902864"/>
    <w:rsid w:val="00936CF2"/>
    <w:rsid w:val="00967767"/>
    <w:rsid w:val="009C44F8"/>
    <w:rsid w:val="009F3165"/>
    <w:rsid w:val="009F6491"/>
    <w:rsid w:val="00A1292C"/>
    <w:rsid w:val="00A14FAD"/>
    <w:rsid w:val="00A30941"/>
    <w:rsid w:val="00A8002E"/>
    <w:rsid w:val="00A8383C"/>
    <w:rsid w:val="00A85623"/>
    <w:rsid w:val="00A95E72"/>
    <w:rsid w:val="00AA2F64"/>
    <w:rsid w:val="00AB45C8"/>
    <w:rsid w:val="00B23FC2"/>
    <w:rsid w:val="00B679AD"/>
    <w:rsid w:val="00B72CD4"/>
    <w:rsid w:val="00BA6D81"/>
    <w:rsid w:val="00BE249A"/>
    <w:rsid w:val="00C0561E"/>
    <w:rsid w:val="00C667FA"/>
    <w:rsid w:val="00CC5335"/>
    <w:rsid w:val="00CF0581"/>
    <w:rsid w:val="00D60007"/>
    <w:rsid w:val="00E425DE"/>
    <w:rsid w:val="00F1658F"/>
    <w:rsid w:val="00F27287"/>
    <w:rsid w:val="00F3328D"/>
    <w:rsid w:val="00FA6CE9"/>
    <w:rsid w:val="2F6F0FB0"/>
    <w:rsid w:val="7655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Balloon Text"/>
    <w:basedOn w:val="1"/>
    <w:link w:val="16"/>
    <w:semiHidden/>
    <w:unhideWhenUsed/>
    <w:qFormat/>
    <w:uiPriority w:val="99"/>
    <w:rPr>
      <w:sz w:val="18"/>
      <w:szCs w:val="18"/>
    </w:rPr>
  </w:style>
  <w:style w:type="paragraph" w:styleId="4">
    <w:name w:val="footer"/>
    <w:basedOn w:val="1"/>
    <w:link w:val="18"/>
    <w:semiHidden/>
    <w:unhideWhenUsed/>
    <w:qFormat/>
    <w:uiPriority w:val="99"/>
    <w:pPr>
      <w:tabs>
        <w:tab w:val="center" w:pos="4153"/>
        <w:tab w:val="right" w:pos="8306"/>
      </w:tabs>
      <w:snapToGrid w:val="0"/>
    </w:pPr>
    <w:rPr>
      <w:sz w:val="18"/>
      <w:szCs w:val="18"/>
    </w:rPr>
  </w:style>
  <w:style w:type="paragraph" w:styleId="5">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customStyle="1" w:styleId="10">
    <w:name w:val="TOC 1"/>
    <w:basedOn w:val="1"/>
    <w:qFormat/>
    <w:uiPriority w:val="1"/>
    <w:pPr>
      <w:spacing w:before="67"/>
      <w:ind w:left="227"/>
    </w:pPr>
    <w:rPr>
      <w:rFonts w:ascii="Microsoft YaHei UI" w:hAnsi="Microsoft YaHei UI" w:eastAsia="Microsoft YaHei UI" w:cs="Microsoft YaHei UI"/>
      <w:b/>
      <w:bCs/>
    </w:rPr>
  </w:style>
  <w:style w:type="paragraph" w:customStyle="1" w:styleId="11">
    <w:name w:val="TOC 2"/>
    <w:basedOn w:val="1"/>
    <w:qFormat/>
    <w:uiPriority w:val="1"/>
    <w:pPr>
      <w:spacing w:before="177"/>
      <w:ind w:left="449"/>
    </w:pPr>
  </w:style>
  <w:style w:type="paragraph" w:customStyle="1" w:styleId="12">
    <w:name w:val="Heading 1"/>
    <w:basedOn w:val="1"/>
    <w:qFormat/>
    <w:uiPriority w:val="1"/>
    <w:pPr>
      <w:spacing w:line="638" w:lineRule="exact"/>
      <w:ind w:right="174"/>
      <w:jc w:val="center"/>
      <w:outlineLvl w:val="1"/>
    </w:pPr>
    <w:rPr>
      <w:rFonts w:ascii="Microsoft YaHei UI" w:hAnsi="Microsoft YaHei UI" w:eastAsia="Microsoft YaHei UI" w:cs="Microsoft YaHei UI"/>
      <w:b/>
      <w:bCs/>
      <w:sz w:val="44"/>
      <w:szCs w:val="44"/>
    </w:rPr>
  </w:style>
  <w:style w:type="paragraph" w:customStyle="1" w:styleId="13">
    <w:name w:val="Heading 2"/>
    <w:basedOn w:val="1"/>
    <w:qFormat/>
    <w:uiPriority w:val="1"/>
    <w:pPr>
      <w:ind w:left="710"/>
      <w:outlineLvl w:val="2"/>
    </w:pPr>
    <w:rPr>
      <w:rFonts w:ascii="Microsoft YaHei UI" w:hAnsi="Microsoft YaHei UI" w:eastAsia="Microsoft YaHei UI" w:cs="Microsoft YaHei UI"/>
      <w:b/>
      <w:bCs/>
      <w:sz w:val="24"/>
      <w:szCs w:val="24"/>
    </w:rPr>
  </w:style>
  <w:style w:type="paragraph" w:styleId="14">
    <w:name w:val="List Paragraph"/>
    <w:basedOn w:val="1"/>
    <w:qFormat/>
    <w:uiPriority w:val="34"/>
    <w:pPr>
      <w:spacing w:before="132"/>
      <w:ind w:left="227" w:firstLine="480"/>
    </w:pPr>
  </w:style>
  <w:style w:type="paragraph" w:customStyle="1" w:styleId="15">
    <w:name w:val="Table Paragraph"/>
    <w:basedOn w:val="1"/>
    <w:qFormat/>
    <w:uiPriority w:val="1"/>
  </w:style>
  <w:style w:type="character" w:customStyle="1" w:styleId="16">
    <w:name w:val="批注框文本 Char"/>
    <w:basedOn w:val="7"/>
    <w:link w:val="3"/>
    <w:semiHidden/>
    <w:qFormat/>
    <w:uiPriority w:val="99"/>
    <w:rPr>
      <w:rFonts w:ascii="宋体" w:hAnsi="宋体" w:eastAsia="宋体" w:cs="宋体"/>
      <w:sz w:val="18"/>
      <w:szCs w:val="18"/>
      <w:lang w:eastAsia="zh-CN"/>
    </w:rPr>
  </w:style>
  <w:style w:type="character" w:customStyle="1" w:styleId="17">
    <w:name w:val="页眉 Char"/>
    <w:basedOn w:val="7"/>
    <w:link w:val="5"/>
    <w:semiHidden/>
    <w:qFormat/>
    <w:uiPriority w:val="99"/>
    <w:rPr>
      <w:rFonts w:ascii="宋体" w:hAnsi="宋体" w:eastAsia="宋体" w:cs="宋体"/>
      <w:sz w:val="18"/>
      <w:szCs w:val="18"/>
      <w:lang w:eastAsia="zh-CN"/>
    </w:rPr>
  </w:style>
  <w:style w:type="character" w:customStyle="1" w:styleId="18">
    <w:name w:val="页脚 Char"/>
    <w:basedOn w:val="7"/>
    <w:link w:val="4"/>
    <w:semiHidden/>
    <w:qFormat/>
    <w:uiPriority w:val="99"/>
    <w:rPr>
      <w:rFonts w:ascii="宋体" w:hAnsi="宋体" w:eastAsia="宋体" w:cs="宋体"/>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Info spid="_x0000_s1025"/>
    <customShpInfo spid="_x0000_s2086"/>
    <customShpInfo spid="_x0000_s2085"/>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2897</Words>
  <Characters>16519</Characters>
  <Lines>137</Lines>
  <Paragraphs>38</Paragraphs>
  <TotalTime>199</TotalTime>
  <ScaleCrop>false</ScaleCrop>
  <LinksUpToDate>false</LinksUpToDate>
  <CharactersWithSpaces>19378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2021-05-27T06:47:00Z</dcterms:created>
  <dc:creator>t</dc:creator>
  <cp:lastModifiedBy>巧巧本人</cp:lastModifiedBy>
  <dcterms:modified xsi:type="dcterms:W3CDTF">2021-06-02T09:52:54Z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Microsoft® Office Word 2007</vt:lpwstr>
  </property>
  <property fmtid="{D5CDD505-2E9C-101B-9397-08002B2CF9AE}" pid="4" name="LastSaved">
    <vt:filetime>2021-05-27T00:00:00Z</vt:filetime>
  </property>
  <property fmtid="{D5CDD505-2E9C-101B-9397-08002B2CF9AE}" pid="5" name="KSOProductBuildVer">
    <vt:lpwstr>2052-11.1.0.10495</vt:lpwstr>
  </property>
  <property fmtid="{D5CDD505-2E9C-101B-9397-08002B2CF9AE}" pid="6" name="ICV">
    <vt:lpwstr>3AF7B0DB1886482B80965C0B94D083AC</vt:lpwstr>
  </property>
</Properties>
</file>